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Pr="005C3C78" w:rsidRDefault="00E50DD0" w:rsidP="00E50DD0">
      <w:pPr>
        <w:jc w:val="center"/>
        <w:rPr>
          <w:rFonts w:ascii="Times New Roman" w:hAnsi="Times New Roman"/>
          <w:sz w:val="24"/>
          <w:szCs w:val="22"/>
        </w:rPr>
      </w:pPr>
      <w:r w:rsidRPr="005C3C78">
        <w:rPr>
          <w:rFonts w:ascii="Times New Roman" w:hAnsi="Times New Roman"/>
          <w:sz w:val="24"/>
        </w:rPr>
        <w:t>NL</w:t>
      </w:r>
    </w:p>
    <w:p w14:paraId="6F8CF8C3" w14:textId="77777777" w:rsidR="00E50DD0" w:rsidRPr="005C3C78" w:rsidRDefault="00E50DD0" w:rsidP="00E50DD0">
      <w:pPr>
        <w:rPr>
          <w:rFonts w:ascii="Times New Roman" w:hAnsi="Times New Roman"/>
          <w:sz w:val="22"/>
        </w:rPr>
      </w:pPr>
    </w:p>
    <w:p w14:paraId="590BC630" w14:textId="77777777" w:rsidR="00DD798A" w:rsidRPr="005C3C78" w:rsidRDefault="00DD798A" w:rsidP="00DD798A">
      <w:pPr>
        <w:jc w:val="center"/>
        <w:rPr>
          <w:rFonts w:ascii="Times New Roman" w:hAnsi="Times New Roman"/>
          <w:sz w:val="24"/>
        </w:rPr>
      </w:pPr>
      <w:r w:rsidRPr="005C3C78">
        <w:rPr>
          <w:rFonts w:ascii="Times New Roman" w:hAnsi="Times New Roman"/>
          <w:sz w:val="24"/>
        </w:rPr>
        <w:t>BIJLAGE II</w:t>
      </w:r>
    </w:p>
    <w:p w14:paraId="33BF0F02" w14:textId="635E30D7" w:rsidR="00DD798A" w:rsidRPr="005C3C78" w:rsidRDefault="001D5E29" w:rsidP="00DD798A">
      <w:pPr>
        <w:jc w:val="center"/>
        <w:rPr>
          <w:rFonts w:ascii="Times New Roman" w:hAnsi="Times New Roman"/>
          <w:sz w:val="24"/>
        </w:rPr>
      </w:pPr>
      <w:r>
        <w:rPr>
          <w:rFonts w:ascii="Times New Roman" w:hAnsi="Times New Roman"/>
          <w:sz w:val="24"/>
        </w:rPr>
        <w:t>“</w:t>
      </w:r>
      <w:r w:rsidR="00DD798A" w:rsidRPr="005C3C78">
        <w:rPr>
          <w:rFonts w:ascii="Times New Roman" w:hAnsi="Times New Roman"/>
          <w:sz w:val="24"/>
        </w:rPr>
        <w:t>BIJLAGE II</w:t>
      </w:r>
    </w:p>
    <w:p w14:paraId="43AF84F6" w14:textId="77777777" w:rsidR="00DD798A" w:rsidRPr="005C3C78" w:rsidRDefault="00DD798A" w:rsidP="00DD798A">
      <w:pPr>
        <w:jc w:val="center"/>
        <w:rPr>
          <w:rFonts w:ascii="Times New Roman" w:hAnsi="Times New Roman"/>
          <w:b/>
          <w:sz w:val="24"/>
        </w:rPr>
      </w:pPr>
      <w:r w:rsidRPr="005C3C78">
        <w:rPr>
          <w:rFonts w:ascii="Times New Roman" w:hAnsi="Times New Roman"/>
          <w:b/>
          <w:sz w:val="24"/>
        </w:rPr>
        <w:t>INSTRUCTIES VOOR RAPPORTAGE INZAKE EIGEN VERMOGEN EN EIGENVERMOGENSVEREISTEN</w:t>
      </w:r>
    </w:p>
    <w:p w14:paraId="6B9B322A" w14:textId="77777777" w:rsidR="00E26A90" w:rsidRPr="005C3C78" w:rsidRDefault="00E26A90">
      <w:pPr>
        <w:rPr>
          <w:rFonts w:ascii="Times New Roman" w:hAnsi="Times New Roman"/>
        </w:rPr>
      </w:pPr>
    </w:p>
    <w:p w14:paraId="2A45E9E8" w14:textId="77777777" w:rsidR="00A931D0" w:rsidRPr="005C3C78" w:rsidRDefault="00A931D0" w:rsidP="00A931D0">
      <w:pPr>
        <w:spacing w:before="0" w:after="0"/>
        <w:jc w:val="left"/>
        <w:rPr>
          <w:rStyle w:val="InstructionsTabelleText"/>
          <w:rFonts w:ascii="Times New Roman" w:hAnsi="Times New Roman"/>
          <w:b/>
          <w:bCs/>
          <w:sz w:val="24"/>
          <w:u w:val="single"/>
        </w:rPr>
      </w:pPr>
      <w:r w:rsidRPr="005C3C78">
        <w:rPr>
          <w:rStyle w:val="InstructionsTabelleText"/>
          <w:rFonts w:ascii="Times New Roman" w:hAnsi="Times New Roman"/>
          <w:b/>
          <w:sz w:val="24"/>
          <w:u w:val="single"/>
        </w:rPr>
        <w:t>DEEL II: INSTRUCTIES MET BETREKKING TOT DE TEMPLATES</w:t>
      </w:r>
    </w:p>
    <w:p w14:paraId="572B21DA" w14:textId="77777777" w:rsidR="00A931D0" w:rsidRPr="005C3C78" w:rsidRDefault="00A931D0" w:rsidP="00A931D0">
      <w:pPr>
        <w:spacing w:before="0" w:after="0"/>
        <w:jc w:val="left"/>
        <w:rPr>
          <w:rStyle w:val="InstructionsTabelleText"/>
          <w:rFonts w:ascii="Times New Roman" w:hAnsi="Times New Roman"/>
          <w:sz w:val="24"/>
        </w:rPr>
      </w:pPr>
      <w:r w:rsidRPr="005C3C78">
        <w:rPr>
          <w:rStyle w:val="InstructionsTabelleText"/>
          <w:rFonts w:ascii="Times New Roman" w:hAnsi="Times New Roman"/>
          <w:sz w:val="24"/>
        </w:rPr>
        <w:t xml:space="preserve"> </w:t>
      </w:r>
    </w:p>
    <w:p w14:paraId="2CBE875B" w14:textId="77777777" w:rsidR="00A931D0" w:rsidRPr="005C3C78" w:rsidRDefault="00A931D0" w:rsidP="00A931D0">
      <w:pPr>
        <w:spacing w:before="0" w:after="0"/>
        <w:jc w:val="left"/>
        <w:rPr>
          <w:rStyle w:val="InstructionsTabelleText"/>
          <w:rFonts w:ascii="Times New Roman" w:hAnsi="Times New Roman"/>
          <w:sz w:val="24"/>
        </w:rPr>
      </w:pPr>
      <w:r w:rsidRPr="005C3C78">
        <w:rPr>
          <w:rStyle w:val="InstructionsTabelleText"/>
          <w:rFonts w:ascii="Times New Roman" w:hAnsi="Times New Roman"/>
          <w:sz w:val="24"/>
        </w:rPr>
        <w:t>(…)</w:t>
      </w:r>
    </w:p>
    <w:p w14:paraId="7289C48A" w14:textId="77777777" w:rsidR="00A931D0" w:rsidRPr="005C3C78" w:rsidRDefault="00A931D0">
      <w:pPr>
        <w:rPr>
          <w:rFonts w:ascii="Times New Roman" w:hAnsi="Times New Roman"/>
        </w:rPr>
      </w:pPr>
    </w:p>
    <w:p w14:paraId="7D324BFC" w14:textId="77777777" w:rsidR="009D6580" w:rsidRPr="005C3C78" w:rsidRDefault="009D6580" w:rsidP="009D6580">
      <w:pPr>
        <w:pStyle w:val="Instructionsberschrift2"/>
        <w:numPr>
          <w:ilvl w:val="0"/>
          <w:numId w:val="0"/>
        </w:numPr>
        <w:ind w:left="357" w:hanging="357"/>
        <w:rPr>
          <w:rFonts w:ascii="Times New Roman" w:hAnsi="Times New Roman" w:cs="Times New Roman"/>
          <w:sz w:val="24"/>
        </w:rPr>
      </w:pPr>
      <w:r w:rsidRPr="005C3C78">
        <w:rPr>
          <w:rFonts w:ascii="Times New Roman" w:hAnsi="Times New Roman" w:cs="Times New Roman"/>
          <w:sz w:val="24"/>
        </w:rPr>
        <w:t>C 09.01 – Geografische uitsplitsing van blootstellingen naar vestigingsplaats van de debiteur: blootstellingen in het kader van de standaardbenadering (CR GB 1)</w:t>
      </w:r>
    </w:p>
    <w:p w14:paraId="0D9A10C4" w14:textId="77777777" w:rsidR="009D6580" w:rsidRPr="005C3C78"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sidRPr="005C3C78">
        <w:rPr>
          <w:rFonts w:ascii="Times New Roman" w:hAnsi="Times New Roman" w:cs="Times New Roman"/>
          <w:sz w:val="24"/>
          <w:u w:val="none"/>
        </w:rPr>
        <w:t>3.4.1.1.</w:t>
      </w:r>
      <w:r w:rsidRPr="005C3C78">
        <w:rPr>
          <w:rFonts w:ascii="Times New Roman" w:hAnsi="Times New Roman" w:cs="Times New Roman"/>
          <w:sz w:val="24"/>
          <w:u w:val="none"/>
        </w:rPr>
        <w:tab/>
      </w:r>
      <w:r w:rsidRPr="005C3C78">
        <w:rPr>
          <w:rFonts w:ascii="Times New Roman" w:hAnsi="Times New Roman" w:cs="Times New Roman"/>
          <w:sz w:val="24"/>
        </w:rPr>
        <w:t>Instructies voor specifieke posities</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5C3C78" w14:paraId="127D8EEC" w14:textId="77777777" w:rsidTr="00822842">
        <w:trPr>
          <w:trHeight w:val="581"/>
        </w:trPr>
        <w:tc>
          <w:tcPr>
            <w:tcW w:w="9828" w:type="dxa"/>
            <w:gridSpan w:val="2"/>
            <w:shd w:val="clear" w:color="auto" w:fill="CCCCCC"/>
          </w:tcPr>
          <w:p w14:paraId="6A81D963" w14:textId="77777777" w:rsidR="009D6580" w:rsidRPr="005C3C78" w:rsidRDefault="009D6580" w:rsidP="00822842">
            <w:pPr>
              <w:spacing w:after="0"/>
              <w:rPr>
                <w:rStyle w:val="InstructionsTabelleText"/>
                <w:rFonts w:ascii="Times New Roman" w:hAnsi="Times New Roman"/>
                <w:b/>
                <w:sz w:val="24"/>
              </w:rPr>
            </w:pPr>
            <w:r w:rsidRPr="005C3C78">
              <w:rPr>
                <w:rStyle w:val="InstructionsTabelleText"/>
                <w:rFonts w:ascii="Times New Roman" w:hAnsi="Times New Roman"/>
                <w:b/>
                <w:sz w:val="24"/>
              </w:rPr>
              <w:t>Kolommen</w:t>
            </w:r>
          </w:p>
        </w:tc>
      </w:tr>
      <w:tr w:rsidR="009D6580" w:rsidRPr="005C3C78" w14:paraId="08CE2FB2" w14:textId="77777777" w:rsidTr="00822842">
        <w:tc>
          <w:tcPr>
            <w:tcW w:w="1188" w:type="dxa"/>
          </w:tcPr>
          <w:p w14:paraId="75E0B30C" w14:textId="77777777" w:rsidR="009D6580" w:rsidRPr="005C3C78" w:rsidRDefault="009D6580" w:rsidP="00822842">
            <w:pPr>
              <w:rPr>
                <w:rStyle w:val="InstructionsTabelleText"/>
                <w:rFonts w:ascii="Times New Roman" w:hAnsi="Times New Roman"/>
                <w:sz w:val="24"/>
              </w:rPr>
            </w:pPr>
            <w:r w:rsidRPr="005C3C78">
              <w:rPr>
                <w:rStyle w:val="InstructionsTabelleText"/>
                <w:rFonts w:ascii="Times New Roman" w:hAnsi="Times New Roman"/>
                <w:sz w:val="24"/>
              </w:rPr>
              <w:t>0010</w:t>
            </w:r>
          </w:p>
        </w:tc>
        <w:tc>
          <w:tcPr>
            <w:tcW w:w="8640" w:type="dxa"/>
          </w:tcPr>
          <w:p w14:paraId="4841BFDB"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OORSPRONKELIJKE BLOOTSTELLING VÓÓR TOEPASSING VAN OMREKENINGSFACTOREN</w:t>
            </w:r>
          </w:p>
          <w:p w14:paraId="1D6A0F00" w14:textId="77777777" w:rsidR="009D6580" w:rsidRPr="005C3C78" w:rsidRDefault="009D6580" w:rsidP="00822842">
            <w:pPr>
              <w:rPr>
                <w:rFonts w:ascii="Times New Roman" w:hAnsi="Times New Roman"/>
                <w:sz w:val="24"/>
              </w:rPr>
            </w:pPr>
            <w:r w:rsidRPr="005C3C78">
              <w:rPr>
                <w:rFonts w:ascii="Times New Roman" w:hAnsi="Times New Roman"/>
                <w:sz w:val="24"/>
              </w:rPr>
              <w:t>Hiervoor geldt dezelfde definitie als voor kolom 0010 van de CR SA-template.</w:t>
            </w:r>
          </w:p>
        </w:tc>
      </w:tr>
      <w:tr w:rsidR="009D6580" w:rsidRPr="005C3C78" w14:paraId="5F923D3B" w14:textId="77777777" w:rsidTr="00822842">
        <w:tc>
          <w:tcPr>
            <w:tcW w:w="1188" w:type="dxa"/>
          </w:tcPr>
          <w:p w14:paraId="69087815" w14:textId="77777777" w:rsidR="009D6580" w:rsidRPr="005C3C78" w:rsidRDefault="009D6580" w:rsidP="00822842">
            <w:pPr>
              <w:rPr>
                <w:rFonts w:ascii="Times New Roman" w:hAnsi="Times New Roman"/>
                <w:sz w:val="24"/>
              </w:rPr>
            </w:pPr>
            <w:r w:rsidRPr="005C3C78">
              <w:rPr>
                <w:rFonts w:ascii="Times New Roman" w:hAnsi="Times New Roman"/>
                <w:sz w:val="24"/>
              </w:rPr>
              <w:t>0020</w:t>
            </w:r>
          </w:p>
        </w:tc>
        <w:tc>
          <w:tcPr>
            <w:tcW w:w="8640" w:type="dxa"/>
          </w:tcPr>
          <w:p w14:paraId="04F3B538"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Blootstellingen ten aanzien waarvan zich een wanbetaling heeft voorgedaan</w:t>
            </w:r>
          </w:p>
          <w:p w14:paraId="147BD4ED" w14:textId="29FBEBE8" w:rsidR="009D6580" w:rsidRPr="005C3C78" w:rsidRDefault="009D6580" w:rsidP="00822842">
            <w:pPr>
              <w:rPr>
                <w:rStyle w:val="InstructionsTabelleText"/>
                <w:rFonts w:ascii="Times New Roman" w:hAnsi="Times New Roman"/>
                <w:sz w:val="24"/>
              </w:rPr>
            </w:pPr>
            <w:r w:rsidRPr="005C3C78">
              <w:rPr>
                <w:rStyle w:val="InstructionsTabelleText"/>
                <w:rFonts w:ascii="Times New Roman" w:hAnsi="Times New Roman"/>
                <w:sz w:val="24"/>
              </w:rPr>
              <w:t>De oorspronkelijke blootstelling vóór de toepassing van omrekeningsfactoren voor de blootstellingen die als “blootstellingen waarbij sprake is van wanbetaling” zijn geclassificeerd, en voor blootstellingen waarbij sprake is van wanbetaling en die zijn toegewezen aan de blootstellingscategorieën “blootstellingen in aandelen” of “blootstellingen in de vorm van rechten van deelneming of aandelen in instellingen voor collectieve belegging (icb’s)”.</w:t>
            </w:r>
          </w:p>
          <w:p w14:paraId="6DA448AF" w14:textId="77777777" w:rsidR="009D6580" w:rsidRPr="005C3C78" w:rsidRDefault="009D6580" w:rsidP="00822842">
            <w:pPr>
              <w:rPr>
                <w:rStyle w:val="InstructionsTabelleText"/>
                <w:rFonts w:ascii="Times New Roman" w:hAnsi="Times New Roman"/>
                <w:sz w:val="24"/>
              </w:rPr>
            </w:pPr>
            <w:r w:rsidRPr="005C3C78">
              <w:rPr>
                <w:rStyle w:val="InstructionsTabelleText"/>
                <w:rFonts w:ascii="Times New Roman" w:hAnsi="Times New Roman"/>
                <w:sz w:val="24"/>
              </w:rPr>
              <w:t xml:space="preserve">Deze “pro-memoriepost” biedt aanvullende informatie over de debiteurenstructuur van blootstellingen waarbij sprake is van wanbetaling. Blootstellingen die zijn geclassificeerd als in artikel 112, punt j), van Verordening (EU) nr. 575/2013 genoemde “blootstellingen waarbij sprake is van wanbetaling”, worden gerapporteerd wanneer de debiteuren zouden zijn gerapporteerd indien die blootstellingen niet in de blootstellingscategorie “blootstellingen waarbij sprake is van wanbetaling” waren ondergebracht. </w:t>
            </w:r>
          </w:p>
          <w:p w14:paraId="52855171" w14:textId="65C7A920" w:rsidR="009D6580" w:rsidRPr="005C3C78" w:rsidRDefault="00123FDD" w:rsidP="00822842">
            <w:pPr>
              <w:rPr>
                <w:rFonts w:ascii="Times New Roman" w:hAnsi="Times New Roman"/>
                <w:sz w:val="24"/>
              </w:rPr>
            </w:pPr>
            <w:r w:rsidRPr="005C3C78">
              <w:rPr>
                <w:rFonts w:ascii="Times New Roman" w:hAnsi="Times New Roman"/>
                <w:sz w:val="24"/>
              </w:rPr>
              <w:t>Deze informatie betreft een “pro-memoriepost” en heeft dus geen gevolgen voor de berekening van de risicogewogen posten van de blootstellingscategorieën “blootstellingen waarbij sprake is van wanbetaling”, “blootstellingen in aandelen” of “blootstellingen in de vorm van rechten van deelneming of aandelen in instellingen voor collectieve belegging (icb’s)” als genoemd in artikel 112, punten j), p) en o), van Verordening (EU) nr. 575/2013.</w:t>
            </w:r>
          </w:p>
        </w:tc>
      </w:tr>
      <w:tr w:rsidR="009D6580" w:rsidRPr="005C3C78" w14:paraId="12737C01" w14:textId="77777777" w:rsidTr="00822842">
        <w:tc>
          <w:tcPr>
            <w:tcW w:w="1188" w:type="dxa"/>
          </w:tcPr>
          <w:p w14:paraId="0843F0D4" w14:textId="77777777" w:rsidR="009D6580" w:rsidRPr="005C3C78" w:rsidRDefault="009D6580" w:rsidP="00822842">
            <w:pPr>
              <w:rPr>
                <w:rFonts w:ascii="Times New Roman" w:hAnsi="Times New Roman"/>
                <w:sz w:val="24"/>
              </w:rPr>
            </w:pPr>
            <w:r w:rsidRPr="005C3C78">
              <w:rPr>
                <w:rFonts w:ascii="Times New Roman" w:hAnsi="Times New Roman"/>
                <w:sz w:val="24"/>
              </w:rPr>
              <w:t>0040</w:t>
            </w:r>
          </w:p>
        </w:tc>
        <w:tc>
          <w:tcPr>
            <w:tcW w:w="8640" w:type="dxa"/>
          </w:tcPr>
          <w:p w14:paraId="317ABA2D"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In de rapportageperiode waargenomen nieuwe gevallen van wanbetaling</w:t>
            </w:r>
          </w:p>
          <w:p w14:paraId="4C451CED"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lastRenderedPageBreak/>
              <w:t>Het bedrag van de oorspronkelijke blootstellingen die tijdens de periode van drie maanden na de laatste rapportagedatum naar de blootstellingscategorie “blootstellingen waarbij sprake is van wanbetaling” zijn overgegaan, wordt gerapporteerd voor de blootstellingscategorie waartoe de debiteur oorspronkelijk behoorde.</w:t>
            </w:r>
          </w:p>
        </w:tc>
      </w:tr>
      <w:tr w:rsidR="009D6580" w:rsidRPr="005C3C78" w14:paraId="59173FA8" w14:textId="77777777" w:rsidTr="00822842">
        <w:tc>
          <w:tcPr>
            <w:tcW w:w="1188" w:type="dxa"/>
          </w:tcPr>
          <w:p w14:paraId="7368E5E9"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0050</w:t>
            </w:r>
          </w:p>
        </w:tc>
        <w:tc>
          <w:tcPr>
            <w:tcW w:w="8640" w:type="dxa"/>
          </w:tcPr>
          <w:p w14:paraId="1A491AA7"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Algemene kredietrisicoaanpassingen</w:t>
            </w:r>
          </w:p>
          <w:p w14:paraId="019027A7" w14:textId="77777777" w:rsidR="009D6580" w:rsidRPr="005C3C78" w:rsidRDefault="009D6580" w:rsidP="00822842">
            <w:pPr>
              <w:rPr>
                <w:rFonts w:ascii="Times New Roman" w:hAnsi="Times New Roman"/>
                <w:sz w:val="24"/>
              </w:rPr>
            </w:pPr>
            <w:r w:rsidRPr="005C3C78">
              <w:rPr>
                <w:rFonts w:ascii="Times New Roman" w:hAnsi="Times New Roman"/>
                <w:sz w:val="24"/>
              </w:rPr>
              <w:t xml:space="preserve">Kredietrisicoaanpassingen als bedoeld in artikel 110 van Verordening (EU) nr. 575/2013, alsmede in Verordening (EU) 183/2014 </w:t>
            </w:r>
          </w:p>
          <w:p w14:paraId="124DE0E0" w14:textId="77777777" w:rsidR="009D6580" w:rsidRPr="005C3C78" w:rsidRDefault="009D6580" w:rsidP="00822842">
            <w:pPr>
              <w:rPr>
                <w:rFonts w:ascii="Times New Roman" w:hAnsi="Times New Roman"/>
                <w:sz w:val="24"/>
              </w:rPr>
            </w:pPr>
            <w:r w:rsidRPr="005C3C78">
              <w:rPr>
                <w:rFonts w:ascii="Times New Roman" w:hAnsi="Times New Roman"/>
                <w:sz w:val="24"/>
              </w:rPr>
              <w:t>Deze post vermeldt de algemene kredietrisicoaanpassingen die in aanmerking komen voor opneming in het tier 2-kapitaal, vóór toepassing van de in artikel 62, punt c), van Verordening (EU) nr. 575/2013 bedoelde begrenzing.</w:t>
            </w:r>
          </w:p>
          <w:p w14:paraId="50B8B57C"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Het te rapporteren bedrag is het bedrag exclusief belastingeffecten.</w:t>
            </w:r>
          </w:p>
        </w:tc>
      </w:tr>
      <w:tr w:rsidR="009D6580" w:rsidRPr="005C3C78" w14:paraId="18048AF8" w14:textId="77777777" w:rsidTr="00822842">
        <w:tc>
          <w:tcPr>
            <w:tcW w:w="1188" w:type="dxa"/>
          </w:tcPr>
          <w:p w14:paraId="6BF1FDE0" w14:textId="77777777" w:rsidR="009D6580" w:rsidRPr="005C3C78" w:rsidRDefault="009D6580" w:rsidP="00822842">
            <w:pPr>
              <w:rPr>
                <w:rFonts w:ascii="Times New Roman" w:hAnsi="Times New Roman"/>
                <w:sz w:val="24"/>
              </w:rPr>
            </w:pPr>
            <w:r w:rsidRPr="005C3C78">
              <w:rPr>
                <w:rFonts w:ascii="Times New Roman" w:hAnsi="Times New Roman"/>
                <w:sz w:val="24"/>
              </w:rPr>
              <w:t>0055</w:t>
            </w:r>
          </w:p>
        </w:tc>
        <w:tc>
          <w:tcPr>
            <w:tcW w:w="8640" w:type="dxa"/>
          </w:tcPr>
          <w:p w14:paraId="3DA55F27"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Specifieke kredietrisicoaanpassingen</w:t>
            </w:r>
          </w:p>
          <w:p w14:paraId="0C4040D9"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Kredietrisicoaanpassingen als bedoeld in artikel 110 van Verordening (EU) nr. 575/2013, alsmede in Verordening (EU) 183/2014</w:t>
            </w:r>
          </w:p>
        </w:tc>
      </w:tr>
      <w:tr w:rsidR="009D6580" w:rsidRPr="005C3C78" w14:paraId="1433D694" w14:textId="77777777" w:rsidTr="00822842">
        <w:tc>
          <w:tcPr>
            <w:tcW w:w="1188" w:type="dxa"/>
          </w:tcPr>
          <w:p w14:paraId="0154002C" w14:textId="77777777" w:rsidR="009D6580" w:rsidRPr="005C3C78" w:rsidRDefault="009D6580" w:rsidP="00822842">
            <w:pPr>
              <w:rPr>
                <w:rFonts w:ascii="Times New Roman" w:hAnsi="Times New Roman"/>
                <w:sz w:val="24"/>
              </w:rPr>
            </w:pPr>
            <w:r w:rsidRPr="005C3C78">
              <w:rPr>
                <w:rFonts w:ascii="Times New Roman" w:hAnsi="Times New Roman"/>
                <w:sz w:val="24"/>
              </w:rPr>
              <w:t>0060</w:t>
            </w:r>
          </w:p>
        </w:tc>
        <w:tc>
          <w:tcPr>
            <w:tcW w:w="8640" w:type="dxa"/>
          </w:tcPr>
          <w:p w14:paraId="0E9754AE"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Afschrijvingen</w:t>
            </w:r>
          </w:p>
          <w:p w14:paraId="5E984FA2"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Afschrijvingen als bedoeld in IFRS 9.5.4.4 en B5.4.9.</w:t>
            </w:r>
          </w:p>
        </w:tc>
      </w:tr>
      <w:tr w:rsidR="009D6580" w:rsidRPr="005C3C78" w14:paraId="1CFA94CF" w14:textId="77777777" w:rsidTr="00822842">
        <w:tc>
          <w:tcPr>
            <w:tcW w:w="1188" w:type="dxa"/>
          </w:tcPr>
          <w:p w14:paraId="23BBA9F5" w14:textId="77777777" w:rsidR="009D6580" w:rsidRPr="005C3C78" w:rsidRDefault="009D6580" w:rsidP="00822842">
            <w:pPr>
              <w:rPr>
                <w:rFonts w:ascii="Times New Roman" w:hAnsi="Times New Roman"/>
                <w:sz w:val="24"/>
              </w:rPr>
            </w:pPr>
            <w:r w:rsidRPr="005C3C78">
              <w:rPr>
                <w:rFonts w:ascii="Times New Roman" w:hAnsi="Times New Roman"/>
                <w:sz w:val="24"/>
              </w:rPr>
              <w:t>0061</w:t>
            </w:r>
          </w:p>
        </w:tc>
        <w:tc>
          <w:tcPr>
            <w:tcW w:w="8640" w:type="dxa"/>
          </w:tcPr>
          <w:p w14:paraId="7173ECB3"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Aanvullende waardeaanpassingen en andere eigenvermogensverlagingen</w:t>
            </w:r>
          </w:p>
          <w:p w14:paraId="074C80EC"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In overeenstemming met artikel 111 van Verordening (EU) nr. 575/2013.</w:t>
            </w:r>
          </w:p>
        </w:tc>
      </w:tr>
      <w:tr w:rsidR="009D6580" w:rsidRPr="005C3C78" w14:paraId="2939F77F" w14:textId="77777777" w:rsidTr="00822842">
        <w:tc>
          <w:tcPr>
            <w:tcW w:w="1188" w:type="dxa"/>
          </w:tcPr>
          <w:p w14:paraId="542B9015" w14:textId="77777777" w:rsidR="009D6580" w:rsidRPr="005C3C78" w:rsidRDefault="009D6580" w:rsidP="00822842">
            <w:pPr>
              <w:rPr>
                <w:rFonts w:ascii="Times New Roman" w:hAnsi="Times New Roman"/>
                <w:sz w:val="24"/>
              </w:rPr>
            </w:pPr>
            <w:r w:rsidRPr="005C3C78">
              <w:rPr>
                <w:rFonts w:ascii="Times New Roman" w:hAnsi="Times New Roman"/>
                <w:sz w:val="24"/>
              </w:rPr>
              <w:t>0070</w:t>
            </w:r>
          </w:p>
        </w:tc>
        <w:tc>
          <w:tcPr>
            <w:tcW w:w="8640" w:type="dxa"/>
          </w:tcPr>
          <w:p w14:paraId="26434907"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Kredietrisicoaanpassingen/afschrijvingen voor waargenomen nieuwe gevallen van wanbetaling</w:t>
            </w:r>
          </w:p>
          <w:p w14:paraId="7E554B62"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De som van de kredietrisicoaanpassingen en afschrijvingen voor blootstellingen die tijdens de periode van drie maanden na de laatste indiening van gegevens als “blootstellingen waarbij sprake is van wanbetaling” zijn geclassificeerd.</w:t>
            </w:r>
          </w:p>
        </w:tc>
      </w:tr>
      <w:tr w:rsidR="009D6580" w:rsidRPr="005C3C78" w14:paraId="2CA30DE3" w14:textId="77777777" w:rsidTr="00822842">
        <w:tc>
          <w:tcPr>
            <w:tcW w:w="1188" w:type="dxa"/>
          </w:tcPr>
          <w:p w14:paraId="2FD89795" w14:textId="77777777" w:rsidR="009D6580" w:rsidRPr="005C3C78" w:rsidRDefault="009D6580" w:rsidP="00822842">
            <w:pPr>
              <w:rPr>
                <w:rFonts w:ascii="Times New Roman" w:hAnsi="Times New Roman"/>
                <w:sz w:val="24"/>
              </w:rPr>
            </w:pPr>
            <w:r w:rsidRPr="005C3C78">
              <w:rPr>
                <w:rFonts w:ascii="Times New Roman" w:hAnsi="Times New Roman"/>
                <w:sz w:val="24"/>
              </w:rPr>
              <w:t>0075</w:t>
            </w:r>
          </w:p>
        </w:tc>
        <w:tc>
          <w:tcPr>
            <w:tcW w:w="8640" w:type="dxa"/>
          </w:tcPr>
          <w:p w14:paraId="233BFDCE"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Blootstellingswaarde</w:t>
            </w:r>
          </w:p>
          <w:p w14:paraId="4F849709"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0200 van de CR SA-template.</w:t>
            </w:r>
          </w:p>
        </w:tc>
      </w:tr>
      <w:tr w:rsidR="009D6580" w:rsidRPr="005C3C78" w14:paraId="09BD9174" w14:textId="77777777" w:rsidTr="00822842">
        <w:tc>
          <w:tcPr>
            <w:tcW w:w="1188" w:type="dxa"/>
          </w:tcPr>
          <w:p w14:paraId="06587A3C" w14:textId="77777777" w:rsidR="009D6580" w:rsidRPr="005C3C78" w:rsidRDefault="009D6580" w:rsidP="00822842">
            <w:pPr>
              <w:rPr>
                <w:rFonts w:ascii="Times New Roman" w:hAnsi="Times New Roman"/>
                <w:sz w:val="24"/>
              </w:rPr>
            </w:pPr>
            <w:r w:rsidRPr="005C3C78">
              <w:rPr>
                <w:rFonts w:ascii="Times New Roman" w:hAnsi="Times New Roman"/>
                <w:sz w:val="24"/>
              </w:rPr>
              <w:t>0080</w:t>
            </w:r>
          </w:p>
        </w:tc>
        <w:tc>
          <w:tcPr>
            <w:tcW w:w="8640" w:type="dxa"/>
          </w:tcPr>
          <w:p w14:paraId="0B560F31" w14:textId="46CDE534"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RISICOGEWOGEN POSTEN VÓÓR TOEPASSING VAN ONDERSTEUNINGSFACTOREN EN VÓÓR VALUTA-MISMATCH</w:t>
            </w:r>
          </w:p>
          <w:p w14:paraId="7F917189"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Hiervoor geldt dezelfde definitie als voor kolom 0215 van de CR SA-template.</w:t>
            </w:r>
          </w:p>
        </w:tc>
      </w:tr>
      <w:tr w:rsidR="009D6580" w:rsidRPr="005C3C78" w14:paraId="172392A5" w14:textId="77777777" w:rsidTr="00822842">
        <w:tc>
          <w:tcPr>
            <w:tcW w:w="1188" w:type="dxa"/>
          </w:tcPr>
          <w:p w14:paraId="4881CC35" w14:textId="77777777" w:rsidR="009D6580" w:rsidRPr="005C3C78" w:rsidRDefault="009D6580" w:rsidP="00822842">
            <w:pPr>
              <w:rPr>
                <w:rFonts w:ascii="Times New Roman" w:hAnsi="Times New Roman"/>
                <w:sz w:val="24"/>
              </w:rPr>
            </w:pPr>
            <w:r w:rsidRPr="005C3C78">
              <w:rPr>
                <w:rFonts w:ascii="Times New Roman" w:hAnsi="Times New Roman"/>
                <w:sz w:val="24"/>
              </w:rPr>
              <w:t>0081</w:t>
            </w:r>
          </w:p>
        </w:tc>
        <w:tc>
          <w:tcPr>
            <w:tcW w:w="8640" w:type="dxa"/>
          </w:tcPr>
          <w:p w14:paraId="3683E884" w14:textId="77777777" w:rsidR="009D6580" w:rsidRPr="005C3C78" w:rsidRDefault="009D6580" w:rsidP="00822842">
            <w:pPr>
              <w:rPr>
                <w:rStyle w:val="InstructionsTabelleberschrift"/>
                <w:rFonts w:ascii="Times New Roman" w:hAnsi="Times New Roman"/>
                <w:sz w:val="32"/>
              </w:rPr>
            </w:pPr>
            <w:r w:rsidRPr="005C3C78">
              <w:rPr>
                <w:rStyle w:val="InstructionsTabelleberschrift"/>
                <w:rFonts w:ascii="Times New Roman" w:hAnsi="Times New Roman"/>
                <w:sz w:val="24"/>
              </w:rPr>
              <w:t>(–) AANPASSING RISICOGEWOGEN POSTEN IN VERBAND MET DE KMO-ONDERSTEUNINGSFACTOR</w:t>
            </w:r>
          </w:p>
          <w:p w14:paraId="7D7BF2EE"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Hiervoor geldt dezelfde definitie als voor kolom 0216 van de CR SA-template.</w:t>
            </w:r>
          </w:p>
        </w:tc>
      </w:tr>
      <w:tr w:rsidR="009D6580" w:rsidRPr="005C3C78" w14:paraId="7C7A5C85" w14:textId="77777777" w:rsidTr="00822842">
        <w:tc>
          <w:tcPr>
            <w:tcW w:w="1188" w:type="dxa"/>
          </w:tcPr>
          <w:p w14:paraId="4ABD72EC" w14:textId="77777777" w:rsidR="009D6580" w:rsidRPr="005C3C78" w:rsidRDefault="009D6580" w:rsidP="00822842">
            <w:pPr>
              <w:rPr>
                <w:rFonts w:ascii="Times New Roman" w:hAnsi="Times New Roman"/>
                <w:sz w:val="24"/>
              </w:rPr>
            </w:pPr>
            <w:r w:rsidRPr="005C3C78">
              <w:rPr>
                <w:rFonts w:ascii="Times New Roman" w:hAnsi="Times New Roman"/>
                <w:sz w:val="24"/>
              </w:rPr>
              <w:t>0082</w:t>
            </w:r>
          </w:p>
        </w:tc>
        <w:tc>
          <w:tcPr>
            <w:tcW w:w="8640" w:type="dxa"/>
          </w:tcPr>
          <w:p w14:paraId="60EE9D4D" w14:textId="77777777" w:rsidR="009D6580" w:rsidRPr="005C3C78" w:rsidRDefault="009D6580" w:rsidP="00822842">
            <w:pPr>
              <w:rPr>
                <w:rStyle w:val="InstructionsTabelleberschrift"/>
                <w:rFonts w:ascii="Times New Roman" w:hAnsi="Times New Roman"/>
                <w:sz w:val="32"/>
              </w:rPr>
            </w:pPr>
            <w:r w:rsidRPr="005C3C78">
              <w:rPr>
                <w:rStyle w:val="InstructionsTabelleberschrift"/>
                <w:rFonts w:ascii="Times New Roman" w:hAnsi="Times New Roman"/>
                <w:sz w:val="24"/>
              </w:rPr>
              <w:t>(–) AANPASSING RISICOGEWOGEN POSTEN IN VERBAND MET DE INFRASTRUCTUURONDERSTEUNINGSFACTOR</w:t>
            </w:r>
          </w:p>
          <w:p w14:paraId="3D157D72"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Hiervoor geldt dezelfde definitie als voor kolom 0217 van de CR SA-template.</w:t>
            </w:r>
          </w:p>
        </w:tc>
      </w:tr>
      <w:tr w:rsidR="009D6580" w:rsidRPr="005C3C78" w14:paraId="2271C08F" w14:textId="77777777" w:rsidTr="00822842">
        <w:tc>
          <w:tcPr>
            <w:tcW w:w="1188" w:type="dxa"/>
          </w:tcPr>
          <w:p w14:paraId="7D3C5FE9" w14:textId="77777777" w:rsidR="009D6580" w:rsidRPr="005C3C78" w:rsidRDefault="009D6580" w:rsidP="00822842">
            <w:pPr>
              <w:rPr>
                <w:rFonts w:ascii="Times New Roman" w:hAnsi="Times New Roman"/>
                <w:sz w:val="24"/>
              </w:rPr>
            </w:pPr>
            <w:r w:rsidRPr="005C3C78">
              <w:rPr>
                <w:rFonts w:ascii="Times New Roman" w:hAnsi="Times New Roman"/>
                <w:sz w:val="24"/>
              </w:rPr>
              <w:t>0090</w:t>
            </w:r>
          </w:p>
        </w:tc>
        <w:tc>
          <w:tcPr>
            <w:tcW w:w="8640" w:type="dxa"/>
          </w:tcPr>
          <w:p w14:paraId="784080AC" w14:textId="77777777" w:rsidR="00AF2BE6" w:rsidRPr="005C3C78" w:rsidRDefault="009D6580" w:rsidP="00AF2BE6">
            <w:pPr>
              <w:rPr>
                <w:rFonts w:ascii="Times New Roman" w:hAnsi="Times New Roman"/>
                <w:b/>
                <w:sz w:val="24"/>
                <w:u w:val="single"/>
              </w:rPr>
            </w:pPr>
            <w:r w:rsidRPr="005C3C78">
              <w:rPr>
                <w:rFonts w:ascii="Times New Roman" w:hAnsi="Times New Roman"/>
                <w:b/>
                <w:sz w:val="24"/>
                <w:u w:val="single"/>
              </w:rPr>
              <w:t>RISICOGEWOGEN POSTEN NA TOEPASSING VAN ONDERSTEUNINGSFACTOREN EN NA VALUTA-MISMATCH</w:t>
            </w:r>
          </w:p>
          <w:p w14:paraId="5F17785F" w14:textId="6397E6C0" w:rsidR="009D6580" w:rsidRPr="005C3C78" w:rsidRDefault="009D6580" w:rsidP="00AF2BE6">
            <w:pPr>
              <w:rPr>
                <w:rFonts w:ascii="Times New Roman" w:hAnsi="Times New Roman"/>
                <w:b/>
                <w:sz w:val="24"/>
                <w:u w:val="single"/>
              </w:rPr>
            </w:pPr>
            <w:r w:rsidRPr="005C3C78">
              <w:rPr>
                <w:rFonts w:ascii="Times New Roman" w:hAnsi="Times New Roman"/>
                <w:sz w:val="24"/>
              </w:rPr>
              <w:lastRenderedPageBreak/>
              <w:t>Hiervoor geldt dezelfde definitie als voor kolom 0220 van de CR SA-template.</w:t>
            </w:r>
          </w:p>
        </w:tc>
      </w:tr>
    </w:tbl>
    <w:p w14:paraId="00F504F2" w14:textId="77777777" w:rsidR="009D6580" w:rsidRPr="005C3C78"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5C3C78" w14:paraId="603A14A1" w14:textId="77777777" w:rsidTr="00822842">
        <w:trPr>
          <w:gridAfter w:val="1"/>
          <w:wAfter w:w="61" w:type="dxa"/>
          <w:trHeight w:val="581"/>
        </w:trPr>
        <w:tc>
          <w:tcPr>
            <w:tcW w:w="9828" w:type="dxa"/>
            <w:gridSpan w:val="2"/>
            <w:shd w:val="clear" w:color="auto" w:fill="CCCCCC"/>
          </w:tcPr>
          <w:p w14:paraId="52CB66F8" w14:textId="77777777" w:rsidR="009D6580" w:rsidRPr="005C3C78" w:rsidRDefault="009D6580" w:rsidP="00822842">
            <w:pPr>
              <w:spacing w:after="0"/>
              <w:rPr>
                <w:rStyle w:val="InstructionsTabelleText"/>
                <w:rFonts w:ascii="Times New Roman" w:hAnsi="Times New Roman"/>
                <w:b/>
                <w:sz w:val="24"/>
              </w:rPr>
            </w:pPr>
            <w:r w:rsidRPr="005C3C78">
              <w:rPr>
                <w:rStyle w:val="InstructionsTabelleText"/>
                <w:rFonts w:ascii="Times New Roman" w:hAnsi="Times New Roman"/>
                <w:b/>
                <w:sz w:val="24"/>
              </w:rPr>
              <w:t>Rijen</w:t>
            </w:r>
          </w:p>
        </w:tc>
      </w:tr>
      <w:tr w:rsidR="009D6580" w:rsidRPr="005C3C78" w14:paraId="118E5421" w14:textId="77777777" w:rsidTr="00822842">
        <w:tc>
          <w:tcPr>
            <w:tcW w:w="1188" w:type="dxa"/>
            <w:shd w:val="clear" w:color="auto" w:fill="FFFFFF"/>
          </w:tcPr>
          <w:p w14:paraId="2F36564E" w14:textId="77777777" w:rsidR="009D6580" w:rsidRPr="005C3C78" w:rsidRDefault="009D6580" w:rsidP="00822842">
            <w:pPr>
              <w:rPr>
                <w:rFonts w:ascii="Times New Roman" w:hAnsi="Times New Roman"/>
                <w:sz w:val="24"/>
              </w:rPr>
            </w:pPr>
            <w:r w:rsidRPr="005C3C78">
              <w:rPr>
                <w:rFonts w:ascii="Times New Roman" w:hAnsi="Times New Roman"/>
                <w:sz w:val="24"/>
              </w:rPr>
              <w:t>0010</w:t>
            </w:r>
          </w:p>
        </w:tc>
        <w:tc>
          <w:tcPr>
            <w:tcW w:w="8701" w:type="dxa"/>
            <w:gridSpan w:val="2"/>
            <w:shd w:val="clear" w:color="auto" w:fill="FFFFFF"/>
          </w:tcPr>
          <w:p w14:paraId="5299C4CD"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Centrale overheden of centrale banken</w:t>
            </w:r>
          </w:p>
          <w:p w14:paraId="701FDDD6" w14:textId="77777777" w:rsidR="009D6580" w:rsidRPr="005C3C78" w:rsidRDefault="009D6580" w:rsidP="00822842">
            <w:pPr>
              <w:ind w:left="72"/>
              <w:rPr>
                <w:rStyle w:val="InstructionsTabelleText"/>
                <w:rFonts w:ascii="Times New Roman" w:hAnsi="Times New Roman"/>
                <w:sz w:val="24"/>
              </w:rPr>
            </w:pPr>
            <w:r w:rsidRPr="005C3C78">
              <w:rPr>
                <w:rFonts w:ascii="Times New Roman" w:hAnsi="Times New Roman"/>
                <w:sz w:val="24"/>
              </w:rPr>
              <w:t>Artikel 112, punt a), van Verordening (EU) nr. 575/2013</w:t>
            </w:r>
          </w:p>
        </w:tc>
      </w:tr>
      <w:tr w:rsidR="009D6580" w:rsidRPr="005C3C78" w14:paraId="68375DB0" w14:textId="77777777" w:rsidTr="00822842">
        <w:tc>
          <w:tcPr>
            <w:tcW w:w="1188" w:type="dxa"/>
            <w:shd w:val="clear" w:color="auto" w:fill="FFFFFF"/>
          </w:tcPr>
          <w:p w14:paraId="1C3E335B" w14:textId="77777777" w:rsidR="009D6580" w:rsidRPr="005C3C78" w:rsidRDefault="009D6580" w:rsidP="00822842">
            <w:pPr>
              <w:rPr>
                <w:rFonts w:ascii="Times New Roman" w:hAnsi="Times New Roman"/>
                <w:sz w:val="24"/>
              </w:rPr>
            </w:pPr>
            <w:r w:rsidRPr="005C3C78">
              <w:rPr>
                <w:rFonts w:ascii="Times New Roman" w:hAnsi="Times New Roman"/>
                <w:sz w:val="24"/>
              </w:rPr>
              <w:t>0020</w:t>
            </w:r>
          </w:p>
        </w:tc>
        <w:tc>
          <w:tcPr>
            <w:tcW w:w="8701" w:type="dxa"/>
            <w:gridSpan w:val="2"/>
            <w:shd w:val="clear" w:color="auto" w:fill="FFFFFF"/>
          </w:tcPr>
          <w:p w14:paraId="1944FAD5"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Regionale overheden of lokale autoriteiten</w:t>
            </w:r>
          </w:p>
          <w:p w14:paraId="06578FE1"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b), van Verordening (EU) nr. 575/2013</w:t>
            </w:r>
          </w:p>
        </w:tc>
      </w:tr>
      <w:tr w:rsidR="009D6580" w:rsidRPr="005C3C78" w14:paraId="586A7704" w14:textId="77777777" w:rsidTr="00822842">
        <w:tc>
          <w:tcPr>
            <w:tcW w:w="1188" w:type="dxa"/>
            <w:shd w:val="clear" w:color="auto" w:fill="FFFFFF"/>
          </w:tcPr>
          <w:p w14:paraId="2F12168F" w14:textId="77777777" w:rsidR="009D6580" w:rsidRPr="005C3C78" w:rsidRDefault="009D6580" w:rsidP="00822842">
            <w:pPr>
              <w:rPr>
                <w:rFonts w:ascii="Times New Roman" w:hAnsi="Times New Roman"/>
                <w:sz w:val="24"/>
              </w:rPr>
            </w:pPr>
            <w:r w:rsidRPr="005C3C78">
              <w:rPr>
                <w:rFonts w:ascii="Times New Roman" w:hAnsi="Times New Roman"/>
                <w:sz w:val="24"/>
              </w:rPr>
              <w:t>0030</w:t>
            </w:r>
          </w:p>
        </w:tc>
        <w:tc>
          <w:tcPr>
            <w:tcW w:w="8701" w:type="dxa"/>
            <w:gridSpan w:val="2"/>
            <w:shd w:val="clear" w:color="auto" w:fill="FFFFFF"/>
          </w:tcPr>
          <w:p w14:paraId="63F83BD2"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Publiekrechtelijke lichamen</w:t>
            </w:r>
          </w:p>
          <w:p w14:paraId="451BD941"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c), van Verordening (EU) nr. 575/2013</w:t>
            </w:r>
          </w:p>
        </w:tc>
      </w:tr>
      <w:tr w:rsidR="009D6580" w:rsidRPr="005C3C78" w14:paraId="6FF0246D" w14:textId="77777777" w:rsidTr="00822842">
        <w:tc>
          <w:tcPr>
            <w:tcW w:w="1188" w:type="dxa"/>
            <w:shd w:val="clear" w:color="auto" w:fill="FFFFFF"/>
          </w:tcPr>
          <w:p w14:paraId="0764BD95" w14:textId="77777777" w:rsidR="009D6580" w:rsidRPr="005C3C78" w:rsidRDefault="009D6580" w:rsidP="00822842">
            <w:pPr>
              <w:rPr>
                <w:rFonts w:ascii="Times New Roman" w:hAnsi="Times New Roman"/>
                <w:sz w:val="24"/>
              </w:rPr>
            </w:pPr>
            <w:r w:rsidRPr="005C3C78">
              <w:rPr>
                <w:rFonts w:ascii="Times New Roman" w:hAnsi="Times New Roman"/>
                <w:sz w:val="24"/>
              </w:rPr>
              <w:t>0040</w:t>
            </w:r>
          </w:p>
        </w:tc>
        <w:tc>
          <w:tcPr>
            <w:tcW w:w="8701" w:type="dxa"/>
            <w:gridSpan w:val="2"/>
            <w:shd w:val="clear" w:color="auto" w:fill="FFFFFF"/>
          </w:tcPr>
          <w:p w14:paraId="3EC9AA89"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Multilaterale ontwikkelingsbanken</w:t>
            </w:r>
          </w:p>
          <w:p w14:paraId="59A02674"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d), van Verordening (EU) nr. 575/2013</w:t>
            </w:r>
          </w:p>
        </w:tc>
      </w:tr>
      <w:tr w:rsidR="009D6580" w:rsidRPr="005C3C78" w14:paraId="6E3FD4C2" w14:textId="77777777" w:rsidTr="00822842">
        <w:tc>
          <w:tcPr>
            <w:tcW w:w="1188" w:type="dxa"/>
            <w:shd w:val="clear" w:color="auto" w:fill="FFFFFF"/>
          </w:tcPr>
          <w:p w14:paraId="6AB26633" w14:textId="77777777" w:rsidR="009D6580" w:rsidRPr="005C3C78" w:rsidRDefault="009D6580" w:rsidP="00822842">
            <w:pPr>
              <w:rPr>
                <w:rFonts w:ascii="Times New Roman" w:hAnsi="Times New Roman"/>
                <w:sz w:val="24"/>
              </w:rPr>
            </w:pPr>
            <w:r w:rsidRPr="005C3C78">
              <w:rPr>
                <w:rFonts w:ascii="Times New Roman" w:hAnsi="Times New Roman"/>
                <w:sz w:val="24"/>
              </w:rPr>
              <w:t>0050</w:t>
            </w:r>
          </w:p>
        </w:tc>
        <w:tc>
          <w:tcPr>
            <w:tcW w:w="8701" w:type="dxa"/>
            <w:gridSpan w:val="2"/>
            <w:shd w:val="clear" w:color="auto" w:fill="FFFFFF"/>
          </w:tcPr>
          <w:p w14:paraId="5907B56D"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Internationale organisaties</w:t>
            </w:r>
          </w:p>
          <w:p w14:paraId="17C7FCF4"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e), van Verordening (EU) nr. 575/2013</w:t>
            </w:r>
          </w:p>
        </w:tc>
      </w:tr>
      <w:tr w:rsidR="009D6580" w:rsidRPr="005C3C78" w14:paraId="4CDD7211" w14:textId="77777777" w:rsidTr="00822842">
        <w:tc>
          <w:tcPr>
            <w:tcW w:w="1188" w:type="dxa"/>
            <w:shd w:val="clear" w:color="auto" w:fill="FFFFFF"/>
          </w:tcPr>
          <w:p w14:paraId="21D2188E" w14:textId="77777777" w:rsidR="009D6580" w:rsidRPr="005C3C78" w:rsidRDefault="009D6580" w:rsidP="00822842">
            <w:pPr>
              <w:rPr>
                <w:rFonts w:ascii="Times New Roman" w:hAnsi="Times New Roman"/>
                <w:sz w:val="24"/>
              </w:rPr>
            </w:pPr>
            <w:r w:rsidRPr="005C3C78">
              <w:rPr>
                <w:rFonts w:ascii="Times New Roman" w:hAnsi="Times New Roman"/>
                <w:sz w:val="24"/>
              </w:rPr>
              <w:t>0060</w:t>
            </w:r>
          </w:p>
        </w:tc>
        <w:tc>
          <w:tcPr>
            <w:tcW w:w="8701" w:type="dxa"/>
            <w:gridSpan w:val="2"/>
            <w:shd w:val="clear" w:color="auto" w:fill="FFFFFF"/>
          </w:tcPr>
          <w:p w14:paraId="1404BFA7"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Instellingen</w:t>
            </w:r>
          </w:p>
          <w:p w14:paraId="153928C3"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f), van Verordening (EU) nr. 575/2013</w:t>
            </w:r>
          </w:p>
        </w:tc>
      </w:tr>
      <w:tr w:rsidR="009D6580" w:rsidRPr="005C3C78" w14:paraId="7EB39EC1" w14:textId="77777777" w:rsidTr="00822842">
        <w:tc>
          <w:tcPr>
            <w:tcW w:w="1188" w:type="dxa"/>
            <w:shd w:val="clear" w:color="auto" w:fill="FFFFFF"/>
          </w:tcPr>
          <w:p w14:paraId="666DDCFA" w14:textId="77777777" w:rsidR="009D6580" w:rsidRPr="005C3C78" w:rsidRDefault="009D6580" w:rsidP="00822842">
            <w:pPr>
              <w:rPr>
                <w:rFonts w:ascii="Times New Roman" w:hAnsi="Times New Roman"/>
                <w:sz w:val="24"/>
              </w:rPr>
            </w:pPr>
            <w:r w:rsidRPr="005C3C78">
              <w:rPr>
                <w:rFonts w:ascii="Times New Roman" w:hAnsi="Times New Roman"/>
                <w:sz w:val="24"/>
              </w:rPr>
              <w:t>0070</w:t>
            </w:r>
          </w:p>
        </w:tc>
        <w:tc>
          <w:tcPr>
            <w:tcW w:w="8701" w:type="dxa"/>
            <w:gridSpan w:val="2"/>
            <w:shd w:val="clear" w:color="auto" w:fill="FFFFFF"/>
          </w:tcPr>
          <w:p w14:paraId="1FC344C1"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Ondernemingen</w:t>
            </w:r>
          </w:p>
          <w:p w14:paraId="2131631A"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g), van Verordening (EU) nr. 575/2013</w:t>
            </w:r>
          </w:p>
        </w:tc>
      </w:tr>
      <w:tr w:rsidR="009D6580" w:rsidRPr="005C3C78" w14:paraId="03BB556F" w14:textId="77777777" w:rsidTr="00822842">
        <w:tc>
          <w:tcPr>
            <w:tcW w:w="1188" w:type="dxa"/>
            <w:shd w:val="clear" w:color="auto" w:fill="FFFFFF"/>
          </w:tcPr>
          <w:p w14:paraId="4BDE48CD" w14:textId="77777777" w:rsidR="009D6580" w:rsidRPr="005C3C78" w:rsidRDefault="009D6580" w:rsidP="00822842">
            <w:pPr>
              <w:rPr>
                <w:rFonts w:ascii="Times New Roman" w:hAnsi="Times New Roman"/>
                <w:sz w:val="24"/>
              </w:rPr>
            </w:pPr>
            <w:r w:rsidRPr="005C3C78">
              <w:rPr>
                <w:rFonts w:ascii="Times New Roman" w:hAnsi="Times New Roman"/>
                <w:sz w:val="24"/>
              </w:rPr>
              <w:t>0075</w:t>
            </w:r>
          </w:p>
        </w:tc>
        <w:tc>
          <w:tcPr>
            <w:tcW w:w="8701" w:type="dxa"/>
            <w:gridSpan w:val="2"/>
            <w:shd w:val="clear" w:color="auto" w:fill="FFFFFF"/>
          </w:tcPr>
          <w:p w14:paraId="299BAF86" w14:textId="086AF81B" w:rsidR="009D6580" w:rsidRPr="005C3C78" w:rsidRDefault="00D2109B"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W</w:t>
            </w:r>
            <w:r w:rsidR="009D6580" w:rsidRPr="005C3C78">
              <w:rPr>
                <w:rStyle w:val="InstructionsTabelleberschrift"/>
                <w:rFonts w:ascii="Times New Roman" w:hAnsi="Times New Roman"/>
                <w:sz w:val="24"/>
              </w:rPr>
              <w:t>aarvan: Kmo</w:t>
            </w:r>
          </w:p>
          <w:p w14:paraId="54A9735B" w14:textId="77777777" w:rsidR="009D6580" w:rsidRPr="005C3C78" w:rsidRDefault="009D6580" w:rsidP="00822842">
            <w:pPr>
              <w:ind w:left="72"/>
              <w:rPr>
                <w:rStyle w:val="InstructionsTabelleberschrift"/>
                <w:rFonts w:ascii="Times New Roman" w:hAnsi="Times New Roman"/>
                <w:b w:val="0"/>
                <w:sz w:val="24"/>
                <w:u w:val="none"/>
              </w:rPr>
            </w:pPr>
            <w:r w:rsidRPr="005C3C78">
              <w:rPr>
                <w:rStyle w:val="InstructionsTabelleberschrift"/>
                <w:rFonts w:ascii="Times New Roman" w:hAnsi="Times New Roman"/>
                <w:b w:val="0"/>
                <w:sz w:val="24"/>
                <w:u w:val="none"/>
              </w:rPr>
              <w:t>Hiervoor geldt dezelfde definitie als voor rij 0020 van de CR SA-template.</w:t>
            </w:r>
          </w:p>
        </w:tc>
      </w:tr>
      <w:tr w:rsidR="009D6580" w:rsidRPr="005C3C78" w14:paraId="134D23F8" w14:textId="77777777" w:rsidTr="00822842">
        <w:tc>
          <w:tcPr>
            <w:tcW w:w="1188" w:type="dxa"/>
            <w:shd w:val="clear" w:color="auto" w:fill="FFFFFF"/>
          </w:tcPr>
          <w:p w14:paraId="44C941F7" w14:textId="77777777" w:rsidR="009D6580" w:rsidRPr="005C3C78" w:rsidRDefault="009D6580" w:rsidP="00822842">
            <w:pPr>
              <w:rPr>
                <w:rFonts w:ascii="Times New Roman" w:hAnsi="Times New Roman"/>
                <w:sz w:val="24"/>
              </w:rPr>
            </w:pPr>
            <w:r w:rsidRPr="005C3C78">
              <w:rPr>
                <w:rFonts w:ascii="Times New Roman" w:hAnsi="Times New Roman"/>
                <w:sz w:val="24"/>
              </w:rPr>
              <w:t>0076</w:t>
            </w:r>
          </w:p>
        </w:tc>
        <w:tc>
          <w:tcPr>
            <w:tcW w:w="8701" w:type="dxa"/>
            <w:gridSpan w:val="2"/>
            <w:shd w:val="clear" w:color="auto" w:fill="FFFFFF"/>
          </w:tcPr>
          <w:p w14:paraId="77F474DF"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Waarvan: Gespecialiseerde kredietverlening</w:t>
            </w:r>
          </w:p>
          <w:p w14:paraId="78348E89" w14:textId="77777777" w:rsidR="009D6580" w:rsidRPr="005C3C78" w:rsidRDefault="009D6580" w:rsidP="00822842">
            <w:pPr>
              <w:ind w:left="72"/>
              <w:rPr>
                <w:rStyle w:val="InstructionsTabelleberschrift"/>
                <w:rFonts w:ascii="Times New Roman" w:hAnsi="Times New Roman"/>
                <w:b w:val="0"/>
                <w:bCs w:val="0"/>
                <w:sz w:val="24"/>
                <w:u w:val="none"/>
              </w:rPr>
            </w:pPr>
            <w:r w:rsidRPr="005C3C78">
              <w:rPr>
                <w:rStyle w:val="InstructionsTabelleberschrift"/>
                <w:rFonts w:ascii="Times New Roman" w:hAnsi="Times New Roman"/>
                <w:b w:val="0"/>
                <w:sz w:val="24"/>
                <w:u w:val="none"/>
              </w:rPr>
              <w:t>Artikel 122 bis van Verordening (EU) nr. 575/2013</w:t>
            </w:r>
          </w:p>
        </w:tc>
      </w:tr>
      <w:tr w:rsidR="009D6580" w:rsidRPr="005C3C78" w14:paraId="128893B5" w14:textId="77777777" w:rsidTr="00822842">
        <w:tc>
          <w:tcPr>
            <w:tcW w:w="1188" w:type="dxa"/>
            <w:shd w:val="clear" w:color="auto" w:fill="FFFFFF"/>
          </w:tcPr>
          <w:p w14:paraId="1169A0DC" w14:textId="77777777" w:rsidR="009D6580" w:rsidRPr="005C3C78" w:rsidRDefault="009D6580" w:rsidP="00822842">
            <w:pPr>
              <w:rPr>
                <w:rFonts w:ascii="Times New Roman" w:hAnsi="Times New Roman"/>
                <w:sz w:val="24"/>
              </w:rPr>
            </w:pPr>
            <w:r w:rsidRPr="005C3C78">
              <w:rPr>
                <w:rFonts w:ascii="Times New Roman" w:hAnsi="Times New Roman"/>
                <w:sz w:val="24"/>
              </w:rPr>
              <w:t>0080</w:t>
            </w:r>
          </w:p>
        </w:tc>
        <w:tc>
          <w:tcPr>
            <w:tcW w:w="8701" w:type="dxa"/>
            <w:gridSpan w:val="2"/>
            <w:shd w:val="clear" w:color="auto" w:fill="FFFFFF"/>
          </w:tcPr>
          <w:p w14:paraId="1C4CE181"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Particulieren en kleine partijen</w:t>
            </w:r>
          </w:p>
          <w:p w14:paraId="4C73D393"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h), van Verordening (EU) nr. 575/2013</w:t>
            </w:r>
          </w:p>
        </w:tc>
      </w:tr>
      <w:tr w:rsidR="009D6580" w:rsidRPr="005C3C78" w14:paraId="1D7D32D9" w14:textId="77777777" w:rsidTr="00822842">
        <w:tc>
          <w:tcPr>
            <w:tcW w:w="1188" w:type="dxa"/>
            <w:shd w:val="clear" w:color="auto" w:fill="FFFFFF"/>
          </w:tcPr>
          <w:p w14:paraId="1C975069" w14:textId="77777777" w:rsidR="009D6580" w:rsidRPr="005C3C78" w:rsidRDefault="009D6580" w:rsidP="00822842">
            <w:pPr>
              <w:rPr>
                <w:rFonts w:ascii="Times New Roman" w:hAnsi="Times New Roman"/>
                <w:sz w:val="24"/>
              </w:rPr>
            </w:pPr>
            <w:r w:rsidRPr="005C3C78">
              <w:rPr>
                <w:rFonts w:ascii="Times New Roman" w:hAnsi="Times New Roman"/>
                <w:sz w:val="24"/>
              </w:rPr>
              <w:t>0085</w:t>
            </w:r>
          </w:p>
        </w:tc>
        <w:tc>
          <w:tcPr>
            <w:tcW w:w="8701" w:type="dxa"/>
            <w:gridSpan w:val="2"/>
            <w:shd w:val="clear" w:color="auto" w:fill="FFFFFF"/>
          </w:tcPr>
          <w:p w14:paraId="73F494D2" w14:textId="0B4829ED" w:rsidR="009D6580" w:rsidRPr="005C3C78" w:rsidRDefault="00D2109B"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W</w:t>
            </w:r>
            <w:r w:rsidR="009D6580" w:rsidRPr="005C3C78">
              <w:rPr>
                <w:rStyle w:val="InstructionsTabelleberschrift"/>
                <w:rFonts w:ascii="Times New Roman" w:hAnsi="Times New Roman"/>
                <w:sz w:val="24"/>
              </w:rPr>
              <w:t>aarvan: Kmo</w:t>
            </w:r>
          </w:p>
          <w:p w14:paraId="08FE43D7" w14:textId="77777777" w:rsidR="009D6580" w:rsidRPr="005C3C78" w:rsidRDefault="009D6580" w:rsidP="00822842">
            <w:pPr>
              <w:ind w:left="72"/>
              <w:rPr>
                <w:rStyle w:val="InstructionsTabelleberschrift"/>
                <w:rFonts w:ascii="Times New Roman" w:hAnsi="Times New Roman"/>
                <w:b w:val="0"/>
                <w:sz w:val="24"/>
                <w:u w:val="none"/>
              </w:rPr>
            </w:pPr>
            <w:r w:rsidRPr="005C3C78">
              <w:rPr>
                <w:rStyle w:val="InstructionsTabelleberschrift"/>
                <w:rFonts w:ascii="Times New Roman" w:hAnsi="Times New Roman"/>
                <w:b w:val="0"/>
                <w:sz w:val="24"/>
                <w:u w:val="none"/>
              </w:rPr>
              <w:t>Hiervoor geldt dezelfde definitie als voor rij 0020 van de CR SA-template.</w:t>
            </w:r>
          </w:p>
        </w:tc>
      </w:tr>
      <w:tr w:rsidR="009D6580" w:rsidRPr="005C3C78" w14:paraId="3E90F1DB" w14:textId="77777777" w:rsidTr="00822842">
        <w:tc>
          <w:tcPr>
            <w:tcW w:w="1188" w:type="dxa"/>
            <w:shd w:val="clear" w:color="auto" w:fill="FFFFFF"/>
          </w:tcPr>
          <w:p w14:paraId="67147AF5" w14:textId="77777777" w:rsidR="009D6580" w:rsidRPr="005C3C78" w:rsidRDefault="009D6580" w:rsidP="00822842">
            <w:pPr>
              <w:rPr>
                <w:rFonts w:ascii="Times New Roman" w:hAnsi="Times New Roman"/>
                <w:sz w:val="24"/>
              </w:rPr>
            </w:pPr>
            <w:r w:rsidRPr="005C3C78">
              <w:rPr>
                <w:rFonts w:ascii="Times New Roman" w:hAnsi="Times New Roman"/>
                <w:sz w:val="24"/>
              </w:rPr>
              <w:t>0090</w:t>
            </w:r>
          </w:p>
        </w:tc>
        <w:tc>
          <w:tcPr>
            <w:tcW w:w="8701" w:type="dxa"/>
            <w:gridSpan w:val="2"/>
            <w:shd w:val="clear" w:color="auto" w:fill="FFFFFF"/>
          </w:tcPr>
          <w:p w14:paraId="17BDF7D3"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onroerend goed en ADC-blootstellingen</w:t>
            </w:r>
          </w:p>
          <w:p w14:paraId="6DD925ED" w14:textId="77777777" w:rsidR="009D6580" w:rsidRPr="005C3C78" w:rsidRDefault="009D6580" w:rsidP="00822842">
            <w:pPr>
              <w:ind w:left="72"/>
              <w:rPr>
                <w:rStyle w:val="InstructionsTabelleText"/>
                <w:rFonts w:ascii="Times New Roman" w:hAnsi="Times New Roman"/>
                <w:sz w:val="24"/>
              </w:rPr>
            </w:pPr>
            <w:r w:rsidRPr="005C3C78">
              <w:rPr>
                <w:rFonts w:ascii="Times New Roman" w:hAnsi="Times New Roman"/>
                <w:sz w:val="24"/>
              </w:rPr>
              <w:t>Artikel 112, punt i), van Verordening (EU) nr. 575/2013</w:t>
            </w:r>
          </w:p>
        </w:tc>
      </w:tr>
      <w:tr w:rsidR="0020657D" w:rsidRPr="005C3C78"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niet-zakelijk onroerend goed — niet-IPRE (gedekt)</w:t>
            </w:r>
          </w:p>
          <w:p w14:paraId="5BC0E4C6" w14:textId="5F815813"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lastRenderedPageBreak/>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niet-zakelijk onroerend goed — niet-IPRE (niet-gedekt)</w:t>
            </w:r>
          </w:p>
          <w:p w14:paraId="607C903E" w14:textId="583159EA"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niet-zakelijk onroerend goed — overige — niet-IPRE</w:t>
            </w:r>
          </w:p>
          <w:p w14:paraId="311E3CF5" w14:textId="5245D766"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niet-zakelijk onroerend goed — IPRE</w:t>
            </w:r>
          </w:p>
          <w:p w14:paraId="2090782C" w14:textId="64D92CBC"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40E22D3" w:rsidR="0020657D" w:rsidRPr="005C3C78" w:rsidRDefault="00D2109B"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w:t>
            </w:r>
            <w:r w:rsidR="0020657D" w:rsidRPr="005C3C78">
              <w:rPr>
                <w:rStyle w:val="InstructionsTabelleberschrift"/>
                <w:rFonts w:ascii="Times New Roman" w:hAnsi="Times New Roman"/>
                <w:sz w:val="24"/>
              </w:rPr>
              <w:t>edekt door hypotheken op niet-zakelijk onroerend goed — overige — niet-IPRE:</w:t>
            </w:r>
          </w:p>
          <w:p w14:paraId="18E3F7B1" w14:textId="00D9A105"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zakelijk onroerend goed — niet-IPRE (gedekt)</w:t>
            </w:r>
          </w:p>
          <w:p w14:paraId="1DD8A6CF" w14:textId="2D56F96D"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zakelijk onroerend goed — niet-IPRE (niet-gedekt)</w:t>
            </w:r>
          </w:p>
          <w:p w14:paraId="37DA45D4" w14:textId="1AC5F0E1"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zakelijk onroerend goed — overige — niet-IPRE</w:t>
            </w:r>
          </w:p>
          <w:p w14:paraId="653F8A23" w14:textId="727D9E51"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zakelijk onroerend goed — IPRE</w:t>
            </w:r>
          </w:p>
          <w:p w14:paraId="5C23C6C1" w14:textId="64A934FD"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Gedekt door hypotheken op zakelijk onroerend goed — overige — IPRE</w:t>
            </w:r>
          </w:p>
          <w:p w14:paraId="4CFFBC8C" w14:textId="16697C60"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20657D" w:rsidRPr="005C3C78"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5C3C78" w:rsidRDefault="0020657D" w:rsidP="0020657D">
            <w:pPr>
              <w:rPr>
                <w:rStyle w:val="FormatvorlageInstructionsTabelleText"/>
                <w:rFonts w:ascii="Times New Roman" w:hAnsi="Times New Roman"/>
                <w:bCs w:val="0"/>
                <w:sz w:val="24"/>
              </w:rPr>
            </w:pPr>
            <w:r w:rsidRPr="005C3C78">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Pr="005C3C78" w:rsidRDefault="0020657D" w:rsidP="0020657D">
            <w:pPr>
              <w:ind w:left="72"/>
              <w:rPr>
                <w:rStyle w:val="InstructionsTabelleberschrift"/>
                <w:rFonts w:ascii="Times New Roman" w:hAnsi="Times New Roman"/>
                <w:sz w:val="24"/>
              </w:rPr>
            </w:pPr>
            <w:r w:rsidRPr="005C3C78">
              <w:rPr>
                <w:rStyle w:val="InstructionsTabelleberschrift"/>
                <w:rFonts w:ascii="Times New Roman" w:hAnsi="Times New Roman"/>
                <w:sz w:val="24"/>
              </w:rPr>
              <w:t>Verwerving, ontwikkeling en bouw (ADC)</w:t>
            </w:r>
          </w:p>
          <w:p w14:paraId="0CFE246E" w14:textId="00399E0A" w:rsidR="0020657D" w:rsidRPr="005C3C78" w:rsidRDefault="0064771D" w:rsidP="0020657D">
            <w:pPr>
              <w:ind w:left="72"/>
              <w:rPr>
                <w:rStyle w:val="InstructionsTabelleberschrift"/>
                <w:rFonts w:ascii="Times New Roman" w:hAnsi="Times New Roman"/>
                <w:b w:val="0"/>
                <w:bCs w:val="0"/>
                <w:sz w:val="24"/>
                <w:u w:val="none"/>
                <w:lang w:val="fr-BE"/>
              </w:rPr>
            </w:pPr>
            <w:r w:rsidRPr="005C3C78">
              <w:rPr>
                <w:rStyle w:val="InstructionsTabelleberschrift"/>
                <w:rFonts w:ascii="Times New Roman" w:hAnsi="Times New Roman"/>
                <w:b w:val="0"/>
                <w:sz w:val="24"/>
                <w:u w:val="none"/>
                <w:lang w:val="fr-BE"/>
              </w:rPr>
              <w:t>Zie de CR SA-template.</w:t>
            </w:r>
          </w:p>
        </w:tc>
      </w:tr>
      <w:tr w:rsidR="009D6580" w:rsidRPr="005C3C78" w14:paraId="4C9413B7" w14:textId="77777777" w:rsidTr="00822842">
        <w:tc>
          <w:tcPr>
            <w:tcW w:w="1188" w:type="dxa"/>
            <w:shd w:val="clear" w:color="auto" w:fill="FFFFFF"/>
          </w:tcPr>
          <w:p w14:paraId="5E67C510" w14:textId="77777777" w:rsidR="009D6580" w:rsidRPr="005C3C78" w:rsidRDefault="009D6580" w:rsidP="00822842">
            <w:pPr>
              <w:rPr>
                <w:rFonts w:ascii="Times New Roman" w:hAnsi="Times New Roman"/>
                <w:sz w:val="24"/>
              </w:rPr>
            </w:pPr>
            <w:r w:rsidRPr="005C3C78">
              <w:rPr>
                <w:rFonts w:ascii="Times New Roman" w:hAnsi="Times New Roman"/>
                <w:sz w:val="24"/>
              </w:rPr>
              <w:t>0095</w:t>
            </w:r>
          </w:p>
        </w:tc>
        <w:tc>
          <w:tcPr>
            <w:tcW w:w="8701" w:type="dxa"/>
            <w:gridSpan w:val="2"/>
            <w:shd w:val="clear" w:color="auto" w:fill="FFFFFF"/>
          </w:tcPr>
          <w:p w14:paraId="4DFFD2E6" w14:textId="5CA4263D" w:rsidR="009D6580" w:rsidRPr="005C3C78" w:rsidRDefault="00D2109B"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W</w:t>
            </w:r>
            <w:r w:rsidR="009D6580" w:rsidRPr="005C3C78">
              <w:rPr>
                <w:rStyle w:val="InstructionsTabelleberschrift"/>
                <w:rFonts w:ascii="Times New Roman" w:hAnsi="Times New Roman"/>
                <w:sz w:val="24"/>
              </w:rPr>
              <w:t>aarvan: Kmo</w:t>
            </w:r>
          </w:p>
          <w:p w14:paraId="6A4AA475" w14:textId="77777777" w:rsidR="009D6580" w:rsidRPr="005C3C78" w:rsidRDefault="009D6580" w:rsidP="00822842">
            <w:pPr>
              <w:ind w:left="72"/>
              <w:rPr>
                <w:rStyle w:val="InstructionsTabelleberschrift"/>
                <w:rFonts w:ascii="Times New Roman" w:hAnsi="Times New Roman"/>
                <w:b w:val="0"/>
                <w:sz w:val="24"/>
                <w:u w:val="none"/>
              </w:rPr>
            </w:pPr>
            <w:r w:rsidRPr="005C3C78">
              <w:rPr>
                <w:rStyle w:val="InstructionsTabelleberschrift"/>
                <w:rFonts w:ascii="Times New Roman" w:hAnsi="Times New Roman"/>
                <w:b w:val="0"/>
                <w:sz w:val="24"/>
                <w:u w:val="none"/>
              </w:rPr>
              <w:t>Hiervoor geldt dezelfde definitie als voor rij 0020 van de CR SA-template.</w:t>
            </w:r>
          </w:p>
        </w:tc>
      </w:tr>
      <w:tr w:rsidR="009D6580" w:rsidRPr="005C3C78" w14:paraId="0A879D31" w14:textId="77777777" w:rsidTr="00822842">
        <w:tc>
          <w:tcPr>
            <w:tcW w:w="1188" w:type="dxa"/>
            <w:shd w:val="clear" w:color="auto" w:fill="FFFFFF"/>
          </w:tcPr>
          <w:p w14:paraId="67C52CF1" w14:textId="77777777" w:rsidR="009D6580" w:rsidRPr="005C3C78" w:rsidRDefault="009D6580" w:rsidP="00822842">
            <w:pPr>
              <w:rPr>
                <w:rFonts w:ascii="Times New Roman" w:hAnsi="Times New Roman"/>
                <w:sz w:val="24"/>
              </w:rPr>
            </w:pPr>
            <w:r w:rsidRPr="005C3C78">
              <w:rPr>
                <w:rFonts w:ascii="Times New Roman" w:hAnsi="Times New Roman"/>
                <w:sz w:val="24"/>
              </w:rPr>
              <w:t>0100</w:t>
            </w:r>
          </w:p>
        </w:tc>
        <w:tc>
          <w:tcPr>
            <w:tcW w:w="8701" w:type="dxa"/>
            <w:gridSpan w:val="2"/>
            <w:shd w:val="clear" w:color="auto" w:fill="FFFFFF"/>
          </w:tcPr>
          <w:p w14:paraId="125A151C"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Blootstellingen waarbij sprake is van wanbetaling</w:t>
            </w:r>
          </w:p>
          <w:p w14:paraId="24E89ACE"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j), van Verordening (EU) nr. 575/2013</w:t>
            </w:r>
          </w:p>
        </w:tc>
      </w:tr>
      <w:tr w:rsidR="009D6580" w:rsidRPr="005C3C78" w14:paraId="09CAD285" w14:textId="77777777" w:rsidTr="00822842">
        <w:tc>
          <w:tcPr>
            <w:tcW w:w="1188" w:type="dxa"/>
            <w:shd w:val="clear" w:color="auto" w:fill="FFFFFF"/>
          </w:tcPr>
          <w:p w14:paraId="0FA617CD" w14:textId="77777777" w:rsidR="009D6580" w:rsidRPr="005C3C78" w:rsidRDefault="009D6580" w:rsidP="00822842">
            <w:pPr>
              <w:rPr>
                <w:rFonts w:ascii="Times New Roman" w:hAnsi="Times New Roman"/>
                <w:sz w:val="24"/>
              </w:rPr>
            </w:pPr>
            <w:r w:rsidRPr="005C3C78">
              <w:rPr>
                <w:rFonts w:ascii="Times New Roman" w:hAnsi="Times New Roman"/>
                <w:sz w:val="24"/>
              </w:rPr>
              <w:t>0115</w:t>
            </w:r>
          </w:p>
        </w:tc>
        <w:tc>
          <w:tcPr>
            <w:tcW w:w="8701" w:type="dxa"/>
            <w:gridSpan w:val="2"/>
            <w:shd w:val="clear" w:color="auto" w:fill="FFFFFF"/>
          </w:tcPr>
          <w:p w14:paraId="71EBD362"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Blootstellingen met betrekking tot achtergestelde schulden</w:t>
            </w:r>
          </w:p>
          <w:p w14:paraId="7F19547A" w14:textId="77777777" w:rsidR="009D6580" w:rsidRPr="005C3C78" w:rsidRDefault="009D6580" w:rsidP="00822842">
            <w:pPr>
              <w:ind w:left="72"/>
              <w:rPr>
                <w:rStyle w:val="InstructionsTabelleberschrift"/>
                <w:rFonts w:ascii="Times New Roman" w:hAnsi="Times New Roman"/>
                <w:b w:val="0"/>
                <w:bCs w:val="0"/>
                <w:sz w:val="24"/>
                <w:u w:val="none"/>
              </w:rPr>
            </w:pPr>
            <w:r w:rsidRPr="005C3C78">
              <w:rPr>
                <w:rFonts w:ascii="Times New Roman" w:hAnsi="Times New Roman"/>
                <w:sz w:val="24"/>
              </w:rPr>
              <w:t>Artikel 112, punt k), van Verordening (EU) nr. 575/2013</w:t>
            </w:r>
          </w:p>
        </w:tc>
      </w:tr>
      <w:tr w:rsidR="009D6580" w:rsidRPr="005C3C78" w14:paraId="7674C8D0" w14:textId="77777777" w:rsidTr="00822842">
        <w:tc>
          <w:tcPr>
            <w:tcW w:w="1188" w:type="dxa"/>
            <w:shd w:val="clear" w:color="auto" w:fill="FFFFFF"/>
          </w:tcPr>
          <w:p w14:paraId="0BFA54D1" w14:textId="77777777" w:rsidR="009D6580" w:rsidRPr="005C3C78" w:rsidRDefault="009D6580" w:rsidP="00822842">
            <w:pPr>
              <w:rPr>
                <w:rFonts w:ascii="Times New Roman" w:hAnsi="Times New Roman"/>
                <w:sz w:val="24"/>
              </w:rPr>
            </w:pPr>
            <w:r w:rsidRPr="005C3C78">
              <w:rPr>
                <w:rFonts w:ascii="Times New Roman" w:hAnsi="Times New Roman"/>
                <w:sz w:val="24"/>
              </w:rPr>
              <w:t>0120</w:t>
            </w:r>
          </w:p>
        </w:tc>
        <w:tc>
          <w:tcPr>
            <w:tcW w:w="8701" w:type="dxa"/>
            <w:gridSpan w:val="2"/>
            <w:shd w:val="clear" w:color="auto" w:fill="FFFFFF"/>
          </w:tcPr>
          <w:p w14:paraId="1D949A7D" w14:textId="77777777" w:rsidR="009D6580" w:rsidRPr="005C3C78" w:rsidRDefault="009D6580" w:rsidP="00822842">
            <w:pPr>
              <w:autoSpaceDE w:val="0"/>
              <w:autoSpaceDN w:val="0"/>
              <w:adjustRightInd w:val="0"/>
              <w:spacing w:before="0"/>
              <w:ind w:left="72"/>
              <w:jc w:val="left"/>
              <w:rPr>
                <w:rStyle w:val="InstructionsTabelleberschrift"/>
                <w:rFonts w:ascii="Times New Roman" w:hAnsi="Times New Roman"/>
                <w:sz w:val="24"/>
              </w:rPr>
            </w:pPr>
            <w:r w:rsidRPr="005C3C78">
              <w:rPr>
                <w:rStyle w:val="InstructionsTabelleberschrift"/>
                <w:rFonts w:ascii="Times New Roman" w:hAnsi="Times New Roman"/>
                <w:sz w:val="24"/>
              </w:rPr>
              <w:t>Gedekte obligaties</w:t>
            </w:r>
          </w:p>
          <w:p w14:paraId="68F7689A" w14:textId="77777777" w:rsidR="009D6580" w:rsidRPr="005C3C78"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sidRPr="005C3C78">
              <w:rPr>
                <w:rFonts w:ascii="Times New Roman" w:hAnsi="Times New Roman"/>
                <w:sz w:val="24"/>
              </w:rPr>
              <w:t>Artikel 112, punt l), van Verordening (EU) nr. 575/2013</w:t>
            </w:r>
          </w:p>
        </w:tc>
      </w:tr>
      <w:tr w:rsidR="009D6580" w:rsidRPr="005C3C78" w14:paraId="18458816" w14:textId="77777777" w:rsidTr="00822842">
        <w:tc>
          <w:tcPr>
            <w:tcW w:w="1188" w:type="dxa"/>
            <w:shd w:val="clear" w:color="auto" w:fill="FFFFFF"/>
          </w:tcPr>
          <w:p w14:paraId="7948D0D7" w14:textId="77777777" w:rsidR="009D6580" w:rsidRPr="005C3C78" w:rsidRDefault="009D6580" w:rsidP="00822842">
            <w:pPr>
              <w:rPr>
                <w:rFonts w:ascii="Times New Roman" w:hAnsi="Times New Roman"/>
                <w:sz w:val="24"/>
              </w:rPr>
            </w:pPr>
            <w:r w:rsidRPr="005C3C78">
              <w:rPr>
                <w:rFonts w:ascii="Times New Roman" w:hAnsi="Times New Roman"/>
                <w:sz w:val="24"/>
              </w:rPr>
              <w:t>0130</w:t>
            </w:r>
          </w:p>
          <w:p w14:paraId="7980BCEA" w14:textId="77777777" w:rsidR="009D6580" w:rsidRPr="005C3C78"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5C3C78" w:rsidRDefault="009D6580" w:rsidP="00822842">
            <w:pPr>
              <w:ind w:left="72"/>
              <w:rPr>
                <w:rStyle w:val="InstructionsTabelleberschrift"/>
                <w:rFonts w:ascii="Times New Roman" w:hAnsi="Times New Roman"/>
                <w:bCs w:val="0"/>
                <w:sz w:val="24"/>
              </w:rPr>
            </w:pPr>
            <w:r w:rsidRPr="005C3C78">
              <w:rPr>
                <w:rStyle w:val="InstructionsTabelleberschrift"/>
                <w:rFonts w:ascii="Times New Roman" w:hAnsi="Times New Roman"/>
                <w:sz w:val="24"/>
              </w:rPr>
              <w:lastRenderedPageBreak/>
              <w:t>Blootstellingen m.b.t. instellingen en ondernemingen met een kredietbeoordeling voor de korte termijn</w:t>
            </w:r>
          </w:p>
          <w:p w14:paraId="53F92677" w14:textId="77777777" w:rsidR="009D6580" w:rsidRPr="005C3C78" w:rsidRDefault="009D6580" w:rsidP="00822842">
            <w:pPr>
              <w:ind w:left="72"/>
              <w:rPr>
                <w:rFonts w:ascii="Times New Roman" w:hAnsi="Times New Roman"/>
                <w:sz w:val="24"/>
              </w:rPr>
            </w:pPr>
            <w:r w:rsidRPr="005C3C78">
              <w:rPr>
                <w:rFonts w:ascii="Times New Roman" w:hAnsi="Times New Roman"/>
                <w:sz w:val="24"/>
              </w:rPr>
              <w:lastRenderedPageBreak/>
              <w:t>Artikel 112, punt n), van Verordening (EU) nr. 575/2013</w:t>
            </w:r>
          </w:p>
        </w:tc>
      </w:tr>
      <w:tr w:rsidR="009D6580" w:rsidRPr="005C3C78" w14:paraId="047E6212" w14:textId="77777777" w:rsidTr="00822842">
        <w:tc>
          <w:tcPr>
            <w:tcW w:w="1188" w:type="dxa"/>
            <w:shd w:val="clear" w:color="auto" w:fill="FFFFFF"/>
          </w:tcPr>
          <w:p w14:paraId="3E827A33"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0140</w:t>
            </w:r>
          </w:p>
        </w:tc>
        <w:tc>
          <w:tcPr>
            <w:tcW w:w="8701" w:type="dxa"/>
            <w:gridSpan w:val="2"/>
            <w:shd w:val="clear" w:color="auto" w:fill="FFFFFF"/>
          </w:tcPr>
          <w:p w14:paraId="2E96D7EF"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Instellingen voor collectieve belegging (icb’s)</w:t>
            </w:r>
          </w:p>
          <w:p w14:paraId="6BE6CAC2" w14:textId="77777777" w:rsidR="009D6580" w:rsidRPr="005C3C78" w:rsidRDefault="009D6580" w:rsidP="00822842">
            <w:pPr>
              <w:ind w:left="72"/>
              <w:rPr>
                <w:rFonts w:ascii="Times New Roman" w:hAnsi="Times New Roman"/>
                <w:bCs/>
                <w:sz w:val="24"/>
              </w:rPr>
            </w:pPr>
            <w:r w:rsidRPr="005C3C78">
              <w:rPr>
                <w:rFonts w:ascii="Times New Roman" w:hAnsi="Times New Roman"/>
                <w:sz w:val="24"/>
              </w:rPr>
              <w:t>Artikel 112, punt o), van Verordening (EU) nr. 575/2013</w:t>
            </w:r>
          </w:p>
          <w:p w14:paraId="0FFD53A4" w14:textId="77777777" w:rsidR="009D6580" w:rsidRPr="005C3C78" w:rsidRDefault="009D6580" w:rsidP="00822842">
            <w:pPr>
              <w:ind w:left="72"/>
              <w:rPr>
                <w:rStyle w:val="InstructionsTabelleberschrift"/>
                <w:rFonts w:ascii="Times New Roman" w:hAnsi="Times New Roman"/>
                <w:b w:val="0"/>
                <w:bCs w:val="0"/>
                <w:sz w:val="24"/>
                <w:u w:val="none"/>
              </w:rPr>
            </w:pPr>
            <w:r w:rsidRPr="005C3C78">
              <w:rPr>
                <w:rFonts w:ascii="Times New Roman" w:hAnsi="Times New Roman"/>
                <w:sz w:val="24"/>
              </w:rPr>
              <w:t>Som van de rijen 0141 tot en met 0143</w:t>
            </w:r>
          </w:p>
        </w:tc>
      </w:tr>
      <w:tr w:rsidR="009D6580" w:rsidRPr="005C3C78"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5C3C78" w:rsidRDefault="009D6580" w:rsidP="00822842">
            <w:pPr>
              <w:rPr>
                <w:rFonts w:ascii="Times New Roman" w:hAnsi="Times New Roman"/>
                <w:sz w:val="24"/>
              </w:rPr>
            </w:pPr>
            <w:r w:rsidRPr="005C3C78">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Doorkijkbenadering</w:t>
            </w:r>
          </w:p>
          <w:p w14:paraId="00783183" w14:textId="77777777" w:rsidR="009D6580" w:rsidRPr="005C3C78" w:rsidRDefault="009D6580" w:rsidP="00822842">
            <w:pPr>
              <w:ind w:left="72"/>
              <w:rPr>
                <w:rStyle w:val="InstructionsTabelleberschrift"/>
                <w:rFonts w:ascii="Times New Roman" w:hAnsi="Times New Roman"/>
                <w:b w:val="0"/>
                <w:sz w:val="24"/>
                <w:u w:val="none"/>
              </w:rPr>
            </w:pPr>
            <w:r w:rsidRPr="005C3C78">
              <w:rPr>
                <w:rStyle w:val="InstructionsTabelleberschrift"/>
                <w:rFonts w:ascii="Times New Roman" w:hAnsi="Times New Roman"/>
                <w:b w:val="0"/>
                <w:sz w:val="24"/>
                <w:u w:val="none"/>
              </w:rPr>
              <w:t>Hiervoor geldt dezelfde definitie als voor rij 0281 van de CR SA-template.</w:t>
            </w:r>
          </w:p>
        </w:tc>
      </w:tr>
      <w:tr w:rsidR="009D6580" w:rsidRPr="005C3C78"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5C3C78" w:rsidRDefault="009D6580" w:rsidP="00822842">
            <w:pPr>
              <w:rPr>
                <w:rFonts w:ascii="Times New Roman" w:hAnsi="Times New Roman"/>
                <w:sz w:val="24"/>
              </w:rPr>
            </w:pPr>
            <w:r w:rsidRPr="005C3C78">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Beleidsbenadering</w:t>
            </w:r>
          </w:p>
          <w:p w14:paraId="1FD38657" w14:textId="77777777" w:rsidR="009D6580" w:rsidRPr="005C3C78" w:rsidRDefault="009D6580" w:rsidP="00822842">
            <w:pPr>
              <w:ind w:left="72"/>
              <w:rPr>
                <w:rStyle w:val="InstructionsTabelleberschrift"/>
                <w:rFonts w:ascii="Times New Roman" w:hAnsi="Times New Roman"/>
                <w:b w:val="0"/>
                <w:sz w:val="24"/>
                <w:u w:val="none"/>
              </w:rPr>
            </w:pPr>
            <w:r w:rsidRPr="005C3C78">
              <w:rPr>
                <w:rStyle w:val="InstructionsTabelleberschrift"/>
                <w:rFonts w:ascii="Times New Roman" w:hAnsi="Times New Roman"/>
                <w:b w:val="0"/>
                <w:sz w:val="24"/>
                <w:u w:val="none"/>
              </w:rPr>
              <w:t>Hiervoor geldt dezelfde definitie als voor rij 0282 van de CR SA-template.</w:t>
            </w:r>
          </w:p>
        </w:tc>
      </w:tr>
      <w:tr w:rsidR="009D6580" w:rsidRPr="005C3C78"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5C3C78" w:rsidRDefault="009D6580" w:rsidP="00822842">
            <w:pPr>
              <w:rPr>
                <w:rFonts w:ascii="Times New Roman" w:hAnsi="Times New Roman"/>
                <w:sz w:val="24"/>
              </w:rPr>
            </w:pPr>
            <w:r w:rsidRPr="005C3C78">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Fall-backbenadering</w:t>
            </w:r>
          </w:p>
          <w:p w14:paraId="2EA9AADD" w14:textId="77777777" w:rsidR="009D6580" w:rsidRPr="005C3C78" w:rsidRDefault="009D6580" w:rsidP="00822842">
            <w:pPr>
              <w:ind w:left="72"/>
              <w:rPr>
                <w:rStyle w:val="InstructionsTabelleberschrift"/>
                <w:rFonts w:ascii="Times New Roman" w:hAnsi="Times New Roman"/>
                <w:b w:val="0"/>
                <w:sz w:val="24"/>
                <w:u w:val="none"/>
              </w:rPr>
            </w:pPr>
            <w:r w:rsidRPr="005C3C78">
              <w:rPr>
                <w:rStyle w:val="InstructionsTabelleberschrift"/>
                <w:rFonts w:ascii="Times New Roman" w:hAnsi="Times New Roman"/>
                <w:b w:val="0"/>
                <w:sz w:val="24"/>
                <w:u w:val="none"/>
              </w:rPr>
              <w:t>Hiervoor geldt dezelfde definitie als voor rij 0283 van de CR SA-template.</w:t>
            </w:r>
          </w:p>
        </w:tc>
      </w:tr>
      <w:tr w:rsidR="009D6580" w:rsidRPr="005C3C78" w14:paraId="518DACEB" w14:textId="77777777" w:rsidTr="00822842">
        <w:tc>
          <w:tcPr>
            <w:tcW w:w="1188" w:type="dxa"/>
            <w:shd w:val="clear" w:color="auto" w:fill="FFFFFF"/>
          </w:tcPr>
          <w:p w14:paraId="091F315F" w14:textId="77777777" w:rsidR="009D6580" w:rsidRPr="005C3C78" w:rsidRDefault="009D6580" w:rsidP="00822842">
            <w:pPr>
              <w:rPr>
                <w:rFonts w:ascii="Times New Roman" w:hAnsi="Times New Roman"/>
                <w:sz w:val="24"/>
              </w:rPr>
            </w:pPr>
            <w:r w:rsidRPr="005C3C78">
              <w:rPr>
                <w:rFonts w:ascii="Times New Roman" w:hAnsi="Times New Roman"/>
                <w:sz w:val="24"/>
              </w:rPr>
              <w:t>0150</w:t>
            </w:r>
          </w:p>
        </w:tc>
        <w:tc>
          <w:tcPr>
            <w:tcW w:w="8701" w:type="dxa"/>
            <w:gridSpan w:val="2"/>
            <w:shd w:val="clear" w:color="auto" w:fill="FFFFFF"/>
          </w:tcPr>
          <w:p w14:paraId="0CB5B1C0"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Blootstellingen in aandelen</w:t>
            </w:r>
          </w:p>
          <w:p w14:paraId="3170DAFB"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p), van Verordening (EU) nr. 575/2013</w:t>
            </w:r>
          </w:p>
        </w:tc>
      </w:tr>
      <w:tr w:rsidR="009D6580" w:rsidRPr="005C3C78" w14:paraId="406875C9" w14:textId="77777777" w:rsidTr="00822842">
        <w:tc>
          <w:tcPr>
            <w:tcW w:w="1188" w:type="dxa"/>
            <w:shd w:val="clear" w:color="auto" w:fill="FFFFFF"/>
          </w:tcPr>
          <w:p w14:paraId="432F9620" w14:textId="77777777" w:rsidR="009D6580" w:rsidRPr="005C3C78" w:rsidRDefault="009D6580" w:rsidP="00822842">
            <w:pPr>
              <w:rPr>
                <w:rFonts w:ascii="Times New Roman" w:hAnsi="Times New Roman"/>
                <w:sz w:val="24"/>
              </w:rPr>
            </w:pPr>
            <w:r w:rsidRPr="005C3C78">
              <w:rPr>
                <w:rFonts w:ascii="Times New Roman" w:hAnsi="Times New Roman"/>
                <w:sz w:val="24"/>
              </w:rPr>
              <w:t>0160</w:t>
            </w:r>
          </w:p>
        </w:tc>
        <w:tc>
          <w:tcPr>
            <w:tcW w:w="8701" w:type="dxa"/>
            <w:gridSpan w:val="2"/>
            <w:shd w:val="clear" w:color="auto" w:fill="FFFFFF"/>
          </w:tcPr>
          <w:p w14:paraId="139F32E7"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Overige blootstellingen</w:t>
            </w:r>
          </w:p>
          <w:p w14:paraId="5D708342" w14:textId="77777777" w:rsidR="009D6580" w:rsidRPr="005C3C78" w:rsidRDefault="009D6580" w:rsidP="00822842">
            <w:pPr>
              <w:ind w:left="72"/>
              <w:rPr>
                <w:rStyle w:val="InstructionsTabelleberschrift"/>
                <w:rFonts w:ascii="Times New Roman" w:hAnsi="Times New Roman"/>
                <w:sz w:val="24"/>
              </w:rPr>
            </w:pPr>
            <w:r w:rsidRPr="005C3C78">
              <w:rPr>
                <w:rFonts w:ascii="Times New Roman" w:hAnsi="Times New Roman"/>
                <w:sz w:val="24"/>
              </w:rPr>
              <w:t>Artikel 112, punt q), van Verordening (EU) nr. 575/2013</w:t>
            </w:r>
          </w:p>
        </w:tc>
      </w:tr>
      <w:tr w:rsidR="009D6580" w:rsidRPr="005C3C78" w14:paraId="79E704E6" w14:textId="77777777" w:rsidTr="00822842">
        <w:tc>
          <w:tcPr>
            <w:tcW w:w="1188" w:type="dxa"/>
            <w:shd w:val="clear" w:color="auto" w:fill="FFFFFF"/>
          </w:tcPr>
          <w:p w14:paraId="027B6EB3" w14:textId="77777777" w:rsidR="009D6580" w:rsidRPr="005C3C78" w:rsidRDefault="009D6580" w:rsidP="00822842">
            <w:pPr>
              <w:rPr>
                <w:rFonts w:ascii="Times New Roman" w:hAnsi="Times New Roman"/>
                <w:sz w:val="24"/>
              </w:rPr>
            </w:pPr>
            <w:r w:rsidRPr="005C3C78">
              <w:rPr>
                <w:rFonts w:ascii="Times New Roman" w:hAnsi="Times New Roman"/>
                <w:sz w:val="24"/>
              </w:rPr>
              <w:t>0170</w:t>
            </w:r>
          </w:p>
        </w:tc>
        <w:tc>
          <w:tcPr>
            <w:tcW w:w="8701" w:type="dxa"/>
            <w:gridSpan w:val="2"/>
            <w:shd w:val="clear" w:color="auto" w:fill="FFFFFF"/>
          </w:tcPr>
          <w:p w14:paraId="545271DD" w14:textId="77777777" w:rsidR="009D6580" w:rsidRPr="005C3C78" w:rsidRDefault="009D6580" w:rsidP="00822842">
            <w:pPr>
              <w:ind w:left="72"/>
              <w:rPr>
                <w:rStyle w:val="InstructionsTabelleberschrift"/>
                <w:rFonts w:ascii="Times New Roman" w:hAnsi="Times New Roman"/>
                <w:sz w:val="24"/>
              </w:rPr>
            </w:pPr>
            <w:r w:rsidRPr="005C3C78">
              <w:rPr>
                <w:rStyle w:val="InstructionsTabelleberschrift"/>
                <w:rFonts w:ascii="Times New Roman" w:hAnsi="Times New Roman"/>
                <w:sz w:val="24"/>
              </w:rPr>
              <w:t>Totale blootstellingen</w:t>
            </w:r>
          </w:p>
        </w:tc>
      </w:tr>
    </w:tbl>
    <w:p w14:paraId="2EB3E5B0" w14:textId="77777777" w:rsidR="009D6580" w:rsidRPr="005C3C78"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5C3C78"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sidRPr="005C3C78">
        <w:rPr>
          <w:rFonts w:ascii="Times New Roman" w:hAnsi="Times New Roman" w:cs="Times New Roman"/>
          <w:sz w:val="24"/>
          <w:u w:val="none"/>
        </w:rPr>
        <w:t>3.4.2.</w:t>
      </w:r>
      <w:r w:rsidRPr="005C3C78">
        <w:rPr>
          <w:rFonts w:ascii="Times New Roman" w:hAnsi="Times New Roman" w:cs="Times New Roman"/>
          <w:sz w:val="24"/>
          <w:u w:val="none"/>
        </w:rPr>
        <w:tab/>
      </w:r>
      <w:r w:rsidRPr="005C3C78">
        <w:rPr>
          <w:rFonts w:ascii="Times New Roman" w:hAnsi="Times New Roman" w:cs="Times New Roman"/>
          <w:sz w:val="24"/>
        </w:rPr>
        <w:t>C 09.02 – Geografische uitsplitsing van blootstellingen naar vestigingsplaats van de debiteur: blootstellingen in het kader van de interneratingbenadering (CR GB 2)</w:t>
      </w:r>
      <w:bookmarkEnd w:id="4"/>
      <w:bookmarkEnd w:id="5"/>
      <w:bookmarkEnd w:id="6"/>
    </w:p>
    <w:p w14:paraId="21A320CB" w14:textId="77777777" w:rsidR="009D6580" w:rsidRPr="005C3C78"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sidRPr="005C3C78">
        <w:rPr>
          <w:rFonts w:ascii="Times New Roman" w:hAnsi="Times New Roman" w:cs="Times New Roman"/>
          <w:sz w:val="24"/>
          <w:u w:val="none"/>
        </w:rPr>
        <w:t>3.4.2.1.</w:t>
      </w:r>
      <w:r w:rsidRPr="005C3C78">
        <w:rPr>
          <w:rFonts w:ascii="Times New Roman" w:hAnsi="Times New Roman" w:cs="Times New Roman"/>
          <w:sz w:val="24"/>
          <w:u w:val="none"/>
        </w:rPr>
        <w:tab/>
      </w:r>
      <w:r w:rsidRPr="005C3C78">
        <w:rPr>
          <w:rFonts w:ascii="Times New Roman" w:hAnsi="Times New Roman" w:cs="Times New Roman"/>
          <w:sz w:val="24"/>
        </w:rPr>
        <w:t>Instructies voor specifieke posities</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8478"/>
      </w:tblGrid>
      <w:tr w:rsidR="009D6580" w:rsidRPr="005C3C78" w14:paraId="5FD232EC" w14:textId="77777777" w:rsidTr="00822842">
        <w:tc>
          <w:tcPr>
            <w:tcW w:w="1188" w:type="dxa"/>
            <w:shd w:val="clear" w:color="auto" w:fill="CCCCCC"/>
          </w:tcPr>
          <w:p w14:paraId="0A2DD9C0" w14:textId="77777777" w:rsidR="009D6580" w:rsidRPr="005C3C78" w:rsidRDefault="009D6580" w:rsidP="00822842">
            <w:pPr>
              <w:rPr>
                <w:rFonts w:ascii="Times New Roman" w:hAnsi="Times New Roman"/>
                <w:b/>
                <w:sz w:val="24"/>
              </w:rPr>
            </w:pPr>
            <w:r w:rsidRPr="005C3C78">
              <w:rPr>
                <w:rFonts w:ascii="Times New Roman" w:hAnsi="Times New Roman"/>
                <w:b/>
                <w:sz w:val="24"/>
              </w:rPr>
              <w:t>Kolommen</w:t>
            </w:r>
          </w:p>
        </w:tc>
        <w:tc>
          <w:tcPr>
            <w:tcW w:w="8640" w:type="dxa"/>
            <w:shd w:val="clear" w:color="auto" w:fill="CCCCCC"/>
          </w:tcPr>
          <w:p w14:paraId="1C07519A" w14:textId="77777777" w:rsidR="009D6580" w:rsidRPr="005C3C78" w:rsidRDefault="009D6580" w:rsidP="00822842">
            <w:pPr>
              <w:ind w:left="72"/>
              <w:rPr>
                <w:rFonts w:ascii="Times New Roman" w:hAnsi="Times New Roman"/>
                <w:sz w:val="24"/>
              </w:rPr>
            </w:pPr>
          </w:p>
        </w:tc>
      </w:tr>
      <w:tr w:rsidR="009D6580" w:rsidRPr="005C3C78" w14:paraId="4CF7BB7D" w14:textId="77777777" w:rsidTr="00822842">
        <w:tc>
          <w:tcPr>
            <w:tcW w:w="1188" w:type="dxa"/>
          </w:tcPr>
          <w:p w14:paraId="1DF8677F" w14:textId="77777777" w:rsidR="009D6580" w:rsidRPr="005C3C78" w:rsidRDefault="009D6580" w:rsidP="00822842">
            <w:pPr>
              <w:rPr>
                <w:rStyle w:val="InstructionsTabelleText"/>
                <w:rFonts w:ascii="Times New Roman" w:hAnsi="Times New Roman"/>
                <w:sz w:val="24"/>
              </w:rPr>
            </w:pPr>
            <w:r w:rsidRPr="005C3C78">
              <w:rPr>
                <w:rStyle w:val="InstructionsTabelleText"/>
                <w:rFonts w:ascii="Times New Roman" w:hAnsi="Times New Roman"/>
                <w:sz w:val="24"/>
              </w:rPr>
              <w:t>0010</w:t>
            </w:r>
          </w:p>
        </w:tc>
        <w:tc>
          <w:tcPr>
            <w:tcW w:w="8640" w:type="dxa"/>
          </w:tcPr>
          <w:p w14:paraId="5DA72BDB" w14:textId="77777777" w:rsidR="009D6580" w:rsidRPr="005C3C78" w:rsidRDefault="009D6580" w:rsidP="00822842">
            <w:pPr>
              <w:rPr>
                <w:rStyle w:val="InstructionsTabelleberschrift"/>
                <w:rFonts w:ascii="Times New Roman" w:hAnsi="Times New Roman"/>
                <w:sz w:val="24"/>
              </w:rPr>
            </w:pPr>
            <w:r w:rsidRPr="005C3C78">
              <w:rPr>
                <w:rStyle w:val="InstructionsTabelleberschrift"/>
                <w:rFonts w:ascii="Times New Roman" w:hAnsi="Times New Roman"/>
                <w:sz w:val="24"/>
              </w:rPr>
              <w:t>OORSPRONKELIJKE BLOOTSTELLING VÓÓR TOEPASSING VAN OMREKENINGSFACTOREN</w:t>
            </w:r>
          </w:p>
          <w:p w14:paraId="714A5DA7" w14:textId="77777777" w:rsidR="009D6580" w:rsidRPr="005C3C78" w:rsidRDefault="009D6580" w:rsidP="00822842">
            <w:pPr>
              <w:autoSpaceDE w:val="0"/>
              <w:autoSpaceDN w:val="0"/>
              <w:adjustRightInd w:val="0"/>
              <w:spacing w:before="0" w:after="0"/>
              <w:jc w:val="left"/>
              <w:rPr>
                <w:rStyle w:val="InstructionsTabelleText"/>
                <w:rFonts w:ascii="Times New Roman" w:hAnsi="Times New Roman"/>
                <w:sz w:val="24"/>
              </w:rPr>
            </w:pPr>
            <w:r w:rsidRPr="005C3C78">
              <w:rPr>
                <w:rFonts w:ascii="Times New Roman" w:hAnsi="Times New Roman"/>
                <w:sz w:val="24"/>
              </w:rPr>
              <w:t>Hiervoor geldt dezelfde definitie als voor kolom 0020 van de CR IRB-template</w:t>
            </w:r>
          </w:p>
        </w:tc>
      </w:tr>
      <w:tr w:rsidR="009D6580" w:rsidRPr="005C3C78" w14:paraId="770F3897" w14:textId="77777777" w:rsidTr="00822842">
        <w:tc>
          <w:tcPr>
            <w:tcW w:w="1188" w:type="dxa"/>
          </w:tcPr>
          <w:p w14:paraId="56E092EF" w14:textId="77777777" w:rsidR="009D6580" w:rsidRPr="005C3C78" w:rsidRDefault="009D6580" w:rsidP="00822842">
            <w:pPr>
              <w:rPr>
                <w:rFonts w:ascii="Times New Roman" w:hAnsi="Times New Roman"/>
                <w:sz w:val="24"/>
              </w:rPr>
            </w:pPr>
            <w:r w:rsidRPr="005C3C78">
              <w:rPr>
                <w:rFonts w:ascii="Times New Roman" w:hAnsi="Times New Roman"/>
                <w:sz w:val="24"/>
              </w:rPr>
              <w:t>0030</w:t>
            </w:r>
          </w:p>
        </w:tc>
        <w:tc>
          <w:tcPr>
            <w:tcW w:w="8640" w:type="dxa"/>
          </w:tcPr>
          <w:p w14:paraId="0071C394"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Waarvan in wanbetaling</w:t>
            </w:r>
          </w:p>
          <w:p w14:paraId="2768B5B2" w14:textId="77777777" w:rsidR="009D6580" w:rsidRPr="005C3C78" w:rsidRDefault="009D6580" w:rsidP="00822842">
            <w:pPr>
              <w:rPr>
                <w:rStyle w:val="InstructionsTabelleText"/>
                <w:rFonts w:ascii="Times New Roman" w:hAnsi="Times New Roman"/>
                <w:sz w:val="24"/>
              </w:rPr>
            </w:pPr>
            <w:r w:rsidRPr="005C3C78">
              <w:rPr>
                <w:rFonts w:ascii="Times New Roman" w:hAnsi="Times New Roman"/>
                <w:sz w:val="24"/>
              </w:rPr>
              <w:t>De oorspronkelijke blootstellingswaarde voor blootstellingen die overeenkomstig artikel 178 van Verordening (EU) nr. 575/2013 als “blootstellingen waarbij sprake is van wanbetaling” zijn geclassificeerd.</w:t>
            </w:r>
          </w:p>
        </w:tc>
      </w:tr>
      <w:tr w:rsidR="009D6580" w:rsidRPr="005C3C78" w14:paraId="7AD6E18B" w14:textId="77777777" w:rsidTr="00822842">
        <w:tc>
          <w:tcPr>
            <w:tcW w:w="1188" w:type="dxa"/>
          </w:tcPr>
          <w:p w14:paraId="1DFAF6C6" w14:textId="77777777" w:rsidR="009D6580" w:rsidRPr="005C3C78" w:rsidRDefault="009D6580" w:rsidP="00822842">
            <w:pPr>
              <w:rPr>
                <w:rFonts w:ascii="Times New Roman" w:hAnsi="Times New Roman"/>
                <w:sz w:val="24"/>
              </w:rPr>
            </w:pPr>
            <w:r w:rsidRPr="005C3C78">
              <w:rPr>
                <w:rFonts w:ascii="Times New Roman" w:hAnsi="Times New Roman"/>
                <w:sz w:val="24"/>
              </w:rPr>
              <w:t>0040</w:t>
            </w:r>
          </w:p>
        </w:tc>
        <w:tc>
          <w:tcPr>
            <w:tcW w:w="8640" w:type="dxa"/>
          </w:tcPr>
          <w:p w14:paraId="3FD9DA2E"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In de rapportageperiode waargenomen nieuwe gevallen van wanbetaling</w:t>
            </w:r>
          </w:p>
          <w:p w14:paraId="2393DECB"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 xml:space="preserve">Het bedrag van de oorspronkelijke blootstellingen die tijdens de periode van drie maanden na de laatste rapportagedatum als “blootstellingen waarbij sprake is van wanbetaling” zijn geclassificeerd, wordt gerapporteerd voor de blootstellingscategorie waartoe de debiteur oorspronkelijk behoorde. </w:t>
            </w:r>
          </w:p>
        </w:tc>
      </w:tr>
      <w:tr w:rsidR="009D6580" w:rsidRPr="005C3C78" w14:paraId="382342DD" w14:textId="77777777" w:rsidTr="00822842">
        <w:tc>
          <w:tcPr>
            <w:tcW w:w="1188" w:type="dxa"/>
          </w:tcPr>
          <w:p w14:paraId="20977C7F"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0050</w:t>
            </w:r>
          </w:p>
        </w:tc>
        <w:tc>
          <w:tcPr>
            <w:tcW w:w="8640" w:type="dxa"/>
          </w:tcPr>
          <w:p w14:paraId="6E8FD64C"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Algemene kredietrisicoaanpassingen</w:t>
            </w:r>
          </w:p>
          <w:p w14:paraId="1F1D0A5D"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Kredietrisicoaanpassingen als bedoeld in artikel 110 van Verordening (EU) nr. 575/2013, alsmede in Verordening (EU) 183/2014.</w:t>
            </w:r>
          </w:p>
        </w:tc>
      </w:tr>
      <w:tr w:rsidR="009D6580" w:rsidRPr="005C3C78" w14:paraId="63C2E396" w14:textId="77777777" w:rsidTr="00822842">
        <w:tc>
          <w:tcPr>
            <w:tcW w:w="1188" w:type="dxa"/>
          </w:tcPr>
          <w:p w14:paraId="3BC8F127" w14:textId="77777777" w:rsidR="009D6580" w:rsidRPr="005C3C78" w:rsidRDefault="009D6580" w:rsidP="00822842">
            <w:pPr>
              <w:rPr>
                <w:rFonts w:ascii="Times New Roman" w:hAnsi="Times New Roman"/>
                <w:sz w:val="24"/>
              </w:rPr>
            </w:pPr>
            <w:r w:rsidRPr="005C3C78">
              <w:rPr>
                <w:rFonts w:ascii="Times New Roman" w:hAnsi="Times New Roman"/>
                <w:sz w:val="24"/>
              </w:rPr>
              <w:t>0055</w:t>
            </w:r>
          </w:p>
        </w:tc>
        <w:tc>
          <w:tcPr>
            <w:tcW w:w="8640" w:type="dxa"/>
          </w:tcPr>
          <w:p w14:paraId="26D828FB"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Specifieke kredietrisicoaanpassingen</w:t>
            </w:r>
          </w:p>
          <w:p w14:paraId="4DA8E76B"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Kredietrisicoaanpassingen als bedoeld in artikel 110 van Verordening (EU) nr. 575/2013, alsmede in Verordening (EU) 183/2014.</w:t>
            </w:r>
          </w:p>
        </w:tc>
      </w:tr>
      <w:tr w:rsidR="009D6580" w:rsidRPr="005C3C78" w14:paraId="24582208" w14:textId="77777777" w:rsidTr="00822842">
        <w:tc>
          <w:tcPr>
            <w:tcW w:w="1188" w:type="dxa"/>
          </w:tcPr>
          <w:p w14:paraId="46A1EB07" w14:textId="77777777" w:rsidR="009D6580" w:rsidRPr="005C3C78" w:rsidRDefault="009D6580" w:rsidP="00822842">
            <w:pPr>
              <w:rPr>
                <w:rFonts w:ascii="Times New Roman" w:hAnsi="Times New Roman"/>
                <w:sz w:val="24"/>
              </w:rPr>
            </w:pPr>
            <w:r w:rsidRPr="005C3C78">
              <w:rPr>
                <w:rFonts w:ascii="Times New Roman" w:hAnsi="Times New Roman"/>
                <w:sz w:val="24"/>
              </w:rPr>
              <w:t>0060</w:t>
            </w:r>
          </w:p>
        </w:tc>
        <w:tc>
          <w:tcPr>
            <w:tcW w:w="8640" w:type="dxa"/>
          </w:tcPr>
          <w:p w14:paraId="4CC236D8"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Afschrijvingen</w:t>
            </w:r>
          </w:p>
          <w:p w14:paraId="51BEEB5D"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Afschrijvingen als bedoeld in IFRS 9.5.4.4 en B5.4.9.</w:t>
            </w:r>
          </w:p>
        </w:tc>
      </w:tr>
      <w:tr w:rsidR="009D6580" w:rsidRPr="005C3C78" w14:paraId="615BD0D9" w14:textId="77777777" w:rsidTr="00822842">
        <w:tc>
          <w:tcPr>
            <w:tcW w:w="1188" w:type="dxa"/>
          </w:tcPr>
          <w:p w14:paraId="641E5F2D" w14:textId="77777777" w:rsidR="009D6580" w:rsidRPr="005C3C78" w:rsidRDefault="009D6580" w:rsidP="00822842">
            <w:pPr>
              <w:rPr>
                <w:rFonts w:ascii="Times New Roman" w:hAnsi="Times New Roman"/>
                <w:sz w:val="24"/>
              </w:rPr>
            </w:pPr>
            <w:r w:rsidRPr="005C3C78">
              <w:rPr>
                <w:rFonts w:ascii="Times New Roman" w:hAnsi="Times New Roman"/>
                <w:sz w:val="24"/>
              </w:rPr>
              <w:t>0070</w:t>
            </w:r>
          </w:p>
        </w:tc>
        <w:tc>
          <w:tcPr>
            <w:tcW w:w="8640" w:type="dxa"/>
          </w:tcPr>
          <w:p w14:paraId="7C362C1E"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Kredietrisicoaanpassingen/afschrijvingen voor waargenomen nieuwe gevallen van wanbetaling</w:t>
            </w:r>
          </w:p>
          <w:p w14:paraId="454774E2"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De som van de kredietrisicoaanpassingen en afschrijvingen voor blootstellingen die tijdens de periode van drie maanden na de laatste indiening van gegevens als “blootstellingen waarbij sprake is van wanbetaling” zijn geclassificeerd.</w:t>
            </w:r>
          </w:p>
        </w:tc>
      </w:tr>
      <w:tr w:rsidR="009D6580" w:rsidRPr="005C3C78" w14:paraId="4B7452D7" w14:textId="77777777" w:rsidTr="00822842">
        <w:tc>
          <w:tcPr>
            <w:tcW w:w="1188" w:type="dxa"/>
          </w:tcPr>
          <w:p w14:paraId="1A68115E" w14:textId="77777777" w:rsidR="009D6580" w:rsidRPr="005C3C78" w:rsidRDefault="009D6580" w:rsidP="00822842">
            <w:pPr>
              <w:rPr>
                <w:rFonts w:ascii="Times New Roman" w:hAnsi="Times New Roman"/>
                <w:sz w:val="24"/>
              </w:rPr>
            </w:pPr>
            <w:r w:rsidRPr="005C3C78">
              <w:rPr>
                <w:rFonts w:ascii="Times New Roman" w:hAnsi="Times New Roman"/>
                <w:sz w:val="24"/>
              </w:rPr>
              <w:t>0080</w:t>
            </w:r>
          </w:p>
        </w:tc>
        <w:tc>
          <w:tcPr>
            <w:tcW w:w="8640" w:type="dxa"/>
          </w:tcPr>
          <w:p w14:paraId="256EF248" w14:textId="77777777" w:rsidR="009D6580" w:rsidRPr="005C3C78" w:rsidRDefault="009D6580" w:rsidP="00822842">
            <w:pPr>
              <w:rPr>
                <w:rStyle w:val="InstructionsTabelleberschrift"/>
                <w:rFonts w:ascii="Times New Roman" w:hAnsi="Times New Roman"/>
                <w:bCs w:val="0"/>
                <w:sz w:val="24"/>
              </w:rPr>
            </w:pPr>
            <w:r w:rsidRPr="005C3C78">
              <w:rPr>
                <w:rStyle w:val="InstructionsTabelleberschrift"/>
                <w:rFonts w:ascii="Times New Roman" w:hAnsi="Times New Roman"/>
                <w:sz w:val="24"/>
              </w:rPr>
              <w:t>INTERNERATINGSCHAAL/AAN DE DEBITEURENKLASSE OF -GROEP TOEGEKENDE PD (%)</w:t>
            </w:r>
          </w:p>
          <w:p w14:paraId="2C51714D"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0010 van de CR IRB-template</w:t>
            </w:r>
          </w:p>
        </w:tc>
      </w:tr>
      <w:tr w:rsidR="009D6580" w:rsidRPr="005C3C78" w14:paraId="18989AFE" w14:textId="77777777" w:rsidTr="00822842">
        <w:tc>
          <w:tcPr>
            <w:tcW w:w="1188" w:type="dxa"/>
          </w:tcPr>
          <w:p w14:paraId="489AE0F7" w14:textId="77777777" w:rsidR="009D6580" w:rsidRPr="005C3C78" w:rsidRDefault="009D6580" w:rsidP="00822842">
            <w:pPr>
              <w:rPr>
                <w:rFonts w:ascii="Times New Roman" w:hAnsi="Times New Roman"/>
                <w:sz w:val="24"/>
              </w:rPr>
            </w:pPr>
            <w:r w:rsidRPr="005C3C78">
              <w:rPr>
                <w:rFonts w:ascii="Times New Roman" w:hAnsi="Times New Roman"/>
                <w:sz w:val="24"/>
              </w:rPr>
              <w:t>0090</w:t>
            </w:r>
          </w:p>
        </w:tc>
        <w:tc>
          <w:tcPr>
            <w:tcW w:w="8640" w:type="dxa"/>
          </w:tcPr>
          <w:p w14:paraId="78B53BEB"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NAAR BLOOTSTELLING GEWOGEN GEMIDDELDE LGD (%)</w:t>
            </w:r>
          </w:p>
          <w:p w14:paraId="5BC89E8E" w14:textId="77777777" w:rsidR="009D6580" w:rsidRPr="005C3C78" w:rsidRDefault="009D6580" w:rsidP="00822842">
            <w:pPr>
              <w:rPr>
                <w:rStyle w:val="InstructionsTabelleText"/>
                <w:rFonts w:ascii="Times New Roman" w:hAnsi="Times New Roman"/>
                <w:sz w:val="24"/>
              </w:rPr>
            </w:pPr>
            <w:r w:rsidRPr="005C3C78">
              <w:rPr>
                <w:rStyle w:val="InstructionsTabelleText"/>
                <w:rFonts w:ascii="Times New Roman" w:hAnsi="Times New Roman"/>
                <w:sz w:val="24"/>
              </w:rPr>
              <w:t>Hiervoor geldt dezelfde definitie als voor de kolommen 0230 en 0240 van de CR IRB-template: de naar blootstelling gewogen gemiddelde LGD (%) betreft alle blootstellingen, met inbegrip van blootstellingen met betrekking tot grote entiteiten uit de financiële sector en niet-gereglementeerde financiële entiteiten. Artikel 181, lid 1, punt h), van Verordening (EU) nr. 575/2013 is van toepassing.</w:t>
            </w:r>
          </w:p>
          <w:p w14:paraId="3A7794EA"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Voor blootstellingen uit hoofde van gespecialiseerde kredietverlening waarbij de PD wordt geraamd, moet de gerapporteerde waarde ofwel de geraamde LGD of de LGD voor toezichtdoeleinden zijn. Voor blootstellingen uit hoofde van gespecialiseerde kredietverlening bedoeld in artikel 153, lid 5, van Verordening (EU) nr. 575/2013 kunnen geen gegevens worden gerapporteerd omdat deze niet beschikbaar zijn.</w:t>
            </w:r>
          </w:p>
        </w:tc>
      </w:tr>
      <w:tr w:rsidR="009D6580" w:rsidRPr="005C3C78" w14:paraId="66756C12" w14:textId="77777777" w:rsidTr="00822842">
        <w:tc>
          <w:tcPr>
            <w:tcW w:w="1188" w:type="dxa"/>
          </w:tcPr>
          <w:p w14:paraId="317ECEC7" w14:textId="77777777" w:rsidR="009D6580" w:rsidRPr="005C3C78" w:rsidRDefault="009D6580" w:rsidP="00822842">
            <w:pPr>
              <w:rPr>
                <w:rFonts w:ascii="Times New Roman" w:hAnsi="Times New Roman"/>
                <w:sz w:val="24"/>
              </w:rPr>
            </w:pPr>
            <w:r w:rsidRPr="005C3C78">
              <w:rPr>
                <w:rFonts w:ascii="Times New Roman" w:hAnsi="Times New Roman"/>
                <w:sz w:val="24"/>
              </w:rPr>
              <w:t>0100</w:t>
            </w:r>
          </w:p>
        </w:tc>
        <w:tc>
          <w:tcPr>
            <w:tcW w:w="8640" w:type="dxa"/>
          </w:tcPr>
          <w:p w14:paraId="68CF6D3A"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Waarvan: in wanbetaling</w:t>
            </w:r>
          </w:p>
          <w:p w14:paraId="789E281A"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De naar blootstelling gewogen gemiddelde LGD voor blootstellingen die overeenkomstig artikel 178 van Verordening (EU) nr. 575/2013 als “blootstellingen waarbij sprake is van wanbetaling” zijn geclassificeerd.</w:t>
            </w:r>
          </w:p>
        </w:tc>
      </w:tr>
      <w:tr w:rsidR="009D6580" w:rsidRPr="005C3C78" w14:paraId="187792F5" w14:textId="77777777" w:rsidTr="00822842">
        <w:tc>
          <w:tcPr>
            <w:tcW w:w="1188" w:type="dxa"/>
          </w:tcPr>
          <w:p w14:paraId="41BFEDD8" w14:textId="77777777" w:rsidR="009D6580" w:rsidRPr="005C3C78" w:rsidRDefault="009D6580" w:rsidP="00822842">
            <w:pPr>
              <w:rPr>
                <w:rFonts w:ascii="Times New Roman" w:hAnsi="Times New Roman"/>
                <w:sz w:val="24"/>
              </w:rPr>
            </w:pPr>
            <w:r w:rsidRPr="005C3C78">
              <w:rPr>
                <w:rFonts w:ascii="Times New Roman" w:hAnsi="Times New Roman"/>
                <w:sz w:val="24"/>
              </w:rPr>
              <w:t>0105</w:t>
            </w:r>
          </w:p>
        </w:tc>
        <w:tc>
          <w:tcPr>
            <w:tcW w:w="8640" w:type="dxa"/>
          </w:tcPr>
          <w:p w14:paraId="7B14423E"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Blootstellingswaarde</w:t>
            </w:r>
          </w:p>
          <w:p w14:paraId="533E4F5D"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0110 van de CR IRB-template</w:t>
            </w:r>
          </w:p>
        </w:tc>
      </w:tr>
      <w:tr w:rsidR="009D6580" w:rsidRPr="005C3C78" w14:paraId="48402149" w14:textId="77777777" w:rsidTr="00822842">
        <w:tc>
          <w:tcPr>
            <w:tcW w:w="1188" w:type="dxa"/>
          </w:tcPr>
          <w:p w14:paraId="3E4D7142" w14:textId="77777777" w:rsidR="009D6580" w:rsidRPr="005C3C78" w:rsidRDefault="009D6580" w:rsidP="00822842">
            <w:pPr>
              <w:rPr>
                <w:rFonts w:ascii="Times New Roman" w:hAnsi="Times New Roman"/>
                <w:sz w:val="24"/>
              </w:rPr>
            </w:pPr>
            <w:r w:rsidRPr="005C3C78">
              <w:rPr>
                <w:rFonts w:ascii="Times New Roman" w:hAnsi="Times New Roman"/>
                <w:sz w:val="24"/>
              </w:rPr>
              <w:t>0110</w:t>
            </w:r>
          </w:p>
        </w:tc>
        <w:tc>
          <w:tcPr>
            <w:tcW w:w="8640" w:type="dxa"/>
          </w:tcPr>
          <w:p w14:paraId="3BFEC9EB"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RISICOGEWOGEN POSTEN VÓÓR TOEPASSING VAN ONDERSTEUNINGSFACTOREN</w:t>
            </w:r>
          </w:p>
          <w:p w14:paraId="38950726"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0255 van de CR IRB-template</w:t>
            </w:r>
          </w:p>
        </w:tc>
      </w:tr>
      <w:tr w:rsidR="009D6580" w:rsidRPr="005C3C78" w14:paraId="321AA4CE" w14:textId="77777777" w:rsidTr="00822842">
        <w:tc>
          <w:tcPr>
            <w:tcW w:w="1188" w:type="dxa"/>
          </w:tcPr>
          <w:p w14:paraId="5F49B73F" w14:textId="77777777" w:rsidR="009D6580" w:rsidRPr="005C3C78" w:rsidRDefault="009D6580" w:rsidP="00822842">
            <w:pPr>
              <w:rPr>
                <w:rFonts w:ascii="Times New Roman" w:hAnsi="Times New Roman"/>
                <w:sz w:val="24"/>
              </w:rPr>
            </w:pPr>
            <w:r w:rsidRPr="005C3C78">
              <w:rPr>
                <w:rFonts w:ascii="Times New Roman" w:hAnsi="Times New Roman"/>
                <w:sz w:val="24"/>
              </w:rPr>
              <w:t>0120</w:t>
            </w:r>
          </w:p>
        </w:tc>
        <w:tc>
          <w:tcPr>
            <w:tcW w:w="8640" w:type="dxa"/>
          </w:tcPr>
          <w:p w14:paraId="2A07E1E7"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Waarvan in wanbetaling</w:t>
            </w:r>
          </w:p>
          <w:p w14:paraId="0B72119F"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lastRenderedPageBreak/>
              <w:t>De risicogewogen posten voor blootstellingen die overeenkomstig artikel 178, lid 1, van Verordening (EU) nr. 575/2013 als “blootstellingen waarbij sprake is van wanbetaling” zijn geclassificeerd.</w:t>
            </w:r>
          </w:p>
        </w:tc>
      </w:tr>
      <w:tr w:rsidR="009D6580" w:rsidRPr="005C3C78" w14:paraId="4F58B17C" w14:textId="77777777" w:rsidTr="00822842">
        <w:tc>
          <w:tcPr>
            <w:tcW w:w="1188" w:type="dxa"/>
          </w:tcPr>
          <w:p w14:paraId="43313479"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0121</w:t>
            </w:r>
          </w:p>
        </w:tc>
        <w:tc>
          <w:tcPr>
            <w:tcW w:w="8640" w:type="dxa"/>
          </w:tcPr>
          <w:p w14:paraId="51B6E44A"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 AANPASSING RISICOGEWOGEN POSTEN IN VERBAND MET DE KMO-ONDERSTEUNINGSFACTOR</w:t>
            </w:r>
          </w:p>
          <w:p w14:paraId="7060DF05"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0256 van de CR IRB-template</w:t>
            </w:r>
          </w:p>
        </w:tc>
      </w:tr>
      <w:tr w:rsidR="009D6580" w:rsidRPr="005C3C78" w14:paraId="6DA9FCB6" w14:textId="77777777" w:rsidTr="00822842">
        <w:tc>
          <w:tcPr>
            <w:tcW w:w="1188" w:type="dxa"/>
          </w:tcPr>
          <w:p w14:paraId="189DC6D4" w14:textId="77777777" w:rsidR="009D6580" w:rsidRPr="005C3C78" w:rsidRDefault="009D6580" w:rsidP="00822842">
            <w:pPr>
              <w:rPr>
                <w:rFonts w:ascii="Times New Roman" w:hAnsi="Times New Roman"/>
                <w:sz w:val="24"/>
              </w:rPr>
            </w:pPr>
            <w:r w:rsidRPr="005C3C78">
              <w:rPr>
                <w:rFonts w:ascii="Times New Roman" w:hAnsi="Times New Roman"/>
                <w:sz w:val="24"/>
              </w:rPr>
              <w:t>0122</w:t>
            </w:r>
          </w:p>
        </w:tc>
        <w:tc>
          <w:tcPr>
            <w:tcW w:w="8640" w:type="dxa"/>
          </w:tcPr>
          <w:p w14:paraId="77E17241"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 AANPASSING RISICOGEWOGEN POSTEN IN VERBAND MET DE INFRASTRUCTUURONDERSTEUNINGSFACTOR</w:t>
            </w:r>
          </w:p>
          <w:p w14:paraId="1EE90D25"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0257 van de CR IRB-template</w:t>
            </w:r>
          </w:p>
        </w:tc>
      </w:tr>
      <w:tr w:rsidR="009D6580" w:rsidRPr="005C3C78" w14:paraId="0A79EDF4" w14:textId="77777777" w:rsidTr="00822842">
        <w:tc>
          <w:tcPr>
            <w:tcW w:w="1188" w:type="dxa"/>
          </w:tcPr>
          <w:p w14:paraId="2D50BBC4" w14:textId="77777777" w:rsidR="009D6580" w:rsidRPr="005C3C78" w:rsidRDefault="009D6580" w:rsidP="00822842">
            <w:pPr>
              <w:rPr>
                <w:rFonts w:ascii="Times New Roman" w:hAnsi="Times New Roman"/>
                <w:sz w:val="24"/>
              </w:rPr>
            </w:pPr>
            <w:r w:rsidRPr="005C3C78">
              <w:rPr>
                <w:rFonts w:ascii="Times New Roman" w:hAnsi="Times New Roman"/>
                <w:sz w:val="24"/>
              </w:rPr>
              <w:t>0125</w:t>
            </w:r>
          </w:p>
        </w:tc>
        <w:tc>
          <w:tcPr>
            <w:tcW w:w="8640" w:type="dxa"/>
          </w:tcPr>
          <w:p w14:paraId="0D402C8B"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RISICOGEWOGEN POSTEN NA TOEPASSING VAN ONDERSTEUNINGSFACTOREN</w:t>
            </w:r>
          </w:p>
          <w:p w14:paraId="71F977E8"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0260 van de CR IRB-template</w:t>
            </w:r>
          </w:p>
        </w:tc>
      </w:tr>
      <w:tr w:rsidR="009D6580" w:rsidRPr="005C3C78" w14:paraId="058051CC" w14:textId="77777777" w:rsidTr="00822842">
        <w:tc>
          <w:tcPr>
            <w:tcW w:w="1188" w:type="dxa"/>
          </w:tcPr>
          <w:p w14:paraId="02AA680F" w14:textId="77777777" w:rsidR="009D6580" w:rsidRPr="005C3C78" w:rsidRDefault="009D6580" w:rsidP="00822842">
            <w:pPr>
              <w:rPr>
                <w:rFonts w:ascii="Times New Roman" w:hAnsi="Times New Roman"/>
                <w:sz w:val="24"/>
              </w:rPr>
            </w:pPr>
            <w:r w:rsidRPr="005C3C78">
              <w:rPr>
                <w:rFonts w:ascii="Times New Roman" w:hAnsi="Times New Roman"/>
                <w:sz w:val="24"/>
              </w:rPr>
              <w:t>0130</w:t>
            </w:r>
          </w:p>
        </w:tc>
        <w:tc>
          <w:tcPr>
            <w:tcW w:w="8640" w:type="dxa"/>
          </w:tcPr>
          <w:p w14:paraId="5E66C6B0"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VERWACHTE VERLIESPOST</w:t>
            </w:r>
          </w:p>
          <w:p w14:paraId="27E13378" w14:textId="77777777" w:rsidR="009D6580" w:rsidRPr="005C3C78" w:rsidRDefault="009D6580" w:rsidP="00822842">
            <w:pPr>
              <w:rPr>
                <w:rFonts w:ascii="Times New Roman" w:hAnsi="Times New Roman"/>
                <w:b/>
                <w:sz w:val="24"/>
                <w:u w:val="single"/>
              </w:rPr>
            </w:pPr>
            <w:r w:rsidRPr="005C3C78">
              <w:rPr>
                <w:rStyle w:val="InstructionsTabelleText"/>
                <w:rFonts w:ascii="Times New Roman" w:hAnsi="Times New Roman"/>
                <w:sz w:val="24"/>
              </w:rPr>
              <w:t>Hiervoor geldt dezelfde definitie als voor kolom 0280 van de CR IRB-template</w:t>
            </w:r>
          </w:p>
        </w:tc>
      </w:tr>
    </w:tbl>
    <w:p w14:paraId="26CEB25D" w14:textId="77777777" w:rsidR="009D6580" w:rsidRPr="005C3C78"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5C3C78" w14:paraId="4378F7EC" w14:textId="77777777" w:rsidTr="00822842">
        <w:tc>
          <w:tcPr>
            <w:tcW w:w="1188" w:type="dxa"/>
            <w:shd w:val="clear" w:color="auto" w:fill="CCCCCC"/>
          </w:tcPr>
          <w:p w14:paraId="629D568D" w14:textId="77777777" w:rsidR="009D6580" w:rsidRPr="005C3C78" w:rsidRDefault="009D6580" w:rsidP="00822842">
            <w:pPr>
              <w:rPr>
                <w:rFonts w:ascii="Times New Roman" w:hAnsi="Times New Roman"/>
                <w:b/>
                <w:sz w:val="24"/>
              </w:rPr>
            </w:pPr>
            <w:r w:rsidRPr="005C3C78">
              <w:rPr>
                <w:rFonts w:ascii="Times New Roman" w:hAnsi="Times New Roman"/>
                <w:b/>
                <w:sz w:val="24"/>
              </w:rPr>
              <w:t>Rijen</w:t>
            </w:r>
          </w:p>
        </w:tc>
        <w:tc>
          <w:tcPr>
            <w:tcW w:w="8640" w:type="dxa"/>
            <w:shd w:val="clear" w:color="auto" w:fill="CCCCCC"/>
          </w:tcPr>
          <w:p w14:paraId="490E44FA" w14:textId="77777777" w:rsidR="009D6580" w:rsidRPr="005C3C78" w:rsidRDefault="009D6580" w:rsidP="00822842">
            <w:pPr>
              <w:ind w:left="72"/>
              <w:rPr>
                <w:rFonts w:ascii="Times New Roman" w:hAnsi="Times New Roman"/>
                <w:sz w:val="24"/>
              </w:rPr>
            </w:pPr>
          </w:p>
        </w:tc>
      </w:tr>
      <w:tr w:rsidR="009D6580" w:rsidRPr="005C3C78" w14:paraId="41D216F1" w14:textId="77777777" w:rsidTr="00822842">
        <w:tc>
          <w:tcPr>
            <w:tcW w:w="1188" w:type="dxa"/>
          </w:tcPr>
          <w:p w14:paraId="12CBEF0E" w14:textId="77777777" w:rsidR="009D6580" w:rsidRPr="005C3C78" w:rsidRDefault="009D6580" w:rsidP="00822842">
            <w:pPr>
              <w:rPr>
                <w:rFonts w:ascii="Times New Roman" w:hAnsi="Times New Roman"/>
                <w:sz w:val="24"/>
              </w:rPr>
            </w:pPr>
            <w:r w:rsidRPr="005C3C78">
              <w:rPr>
                <w:rFonts w:ascii="Times New Roman" w:hAnsi="Times New Roman"/>
                <w:sz w:val="24"/>
              </w:rPr>
              <w:t>0010</w:t>
            </w:r>
          </w:p>
        </w:tc>
        <w:tc>
          <w:tcPr>
            <w:tcW w:w="8640" w:type="dxa"/>
          </w:tcPr>
          <w:p w14:paraId="349EA927"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 xml:space="preserve">Centrale overheden en centrale banken </w:t>
            </w:r>
          </w:p>
          <w:p w14:paraId="45CC186E" w14:textId="77777777" w:rsidR="009D6580" w:rsidRPr="005C3C78" w:rsidRDefault="009D6580" w:rsidP="00822842">
            <w:pPr>
              <w:rPr>
                <w:rFonts w:ascii="Times New Roman" w:hAnsi="Times New Roman"/>
                <w:sz w:val="24"/>
              </w:rPr>
            </w:pPr>
            <w:r w:rsidRPr="005C3C78">
              <w:rPr>
                <w:rFonts w:ascii="Times New Roman" w:hAnsi="Times New Roman"/>
                <w:sz w:val="24"/>
              </w:rPr>
              <w:t>Artikel 147, lid 2, punt a), van Verordening (EU) nr. 575/2013</w:t>
            </w:r>
          </w:p>
        </w:tc>
      </w:tr>
      <w:tr w:rsidR="009D6580" w:rsidRPr="005C3C78" w14:paraId="6125B13A" w14:textId="77777777" w:rsidTr="00822842">
        <w:tc>
          <w:tcPr>
            <w:tcW w:w="1188" w:type="dxa"/>
            <w:shd w:val="clear" w:color="auto" w:fill="auto"/>
          </w:tcPr>
          <w:p w14:paraId="33C6F35E" w14:textId="77777777" w:rsidR="009D6580" w:rsidRPr="005C3C78" w:rsidRDefault="009D6580" w:rsidP="00822842">
            <w:pPr>
              <w:rPr>
                <w:rFonts w:ascii="Times New Roman" w:hAnsi="Times New Roman"/>
                <w:sz w:val="24"/>
              </w:rPr>
            </w:pPr>
            <w:r w:rsidRPr="005C3C78">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Waarvan: Regionale overheden of lokale autoriteiten</w:t>
            </w:r>
          </w:p>
          <w:p w14:paraId="4864E157"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Artikel 147, lid 3 bis, van Verordening (EU) nr. 575/2013</w:t>
            </w:r>
          </w:p>
        </w:tc>
      </w:tr>
      <w:tr w:rsidR="009D6580" w:rsidRPr="005C3C78" w14:paraId="57997C4B" w14:textId="77777777" w:rsidTr="00822842">
        <w:tc>
          <w:tcPr>
            <w:tcW w:w="1188" w:type="dxa"/>
            <w:shd w:val="clear" w:color="auto" w:fill="auto"/>
          </w:tcPr>
          <w:p w14:paraId="7E0CEA1D" w14:textId="77777777" w:rsidR="009D6580" w:rsidRPr="005C3C78" w:rsidRDefault="009D6580" w:rsidP="00822842">
            <w:pPr>
              <w:rPr>
                <w:rFonts w:ascii="Times New Roman" w:hAnsi="Times New Roman"/>
                <w:sz w:val="24"/>
              </w:rPr>
            </w:pPr>
            <w:r w:rsidRPr="005C3C78">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Regionale overheden of lokale autoriteiten</w:t>
            </w:r>
          </w:p>
          <w:p w14:paraId="19FE9B53"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Artikel 147, lid 2, punt a bis), i), van Verordening (EU) nr. 575/2013</w:t>
            </w:r>
          </w:p>
        </w:tc>
      </w:tr>
      <w:tr w:rsidR="009D6580" w:rsidRPr="005C3C78" w14:paraId="756631BD" w14:textId="77777777" w:rsidTr="00822842">
        <w:tc>
          <w:tcPr>
            <w:tcW w:w="1188" w:type="dxa"/>
            <w:shd w:val="clear" w:color="auto" w:fill="auto"/>
          </w:tcPr>
          <w:p w14:paraId="36422B7A" w14:textId="77777777" w:rsidR="009D6580" w:rsidRPr="005C3C78" w:rsidRDefault="009D6580" w:rsidP="00822842">
            <w:pPr>
              <w:rPr>
                <w:rFonts w:ascii="Times New Roman" w:hAnsi="Times New Roman"/>
                <w:sz w:val="24"/>
              </w:rPr>
            </w:pPr>
            <w:r w:rsidRPr="005C3C78">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 xml:space="preserve">Publiekrechtelijke lichamen </w:t>
            </w:r>
          </w:p>
          <w:p w14:paraId="1DE1AAE7"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Artikel 147, lid 2, punt a bis), ii), van Verordening (EU) nr. 575/2013</w:t>
            </w:r>
          </w:p>
        </w:tc>
      </w:tr>
      <w:tr w:rsidR="009D6580" w:rsidRPr="005C3C78" w14:paraId="0C55C95D" w14:textId="77777777" w:rsidTr="00822842">
        <w:tc>
          <w:tcPr>
            <w:tcW w:w="1188" w:type="dxa"/>
          </w:tcPr>
          <w:p w14:paraId="6C8F06FC" w14:textId="77777777" w:rsidR="009D6580" w:rsidRPr="005C3C78" w:rsidRDefault="009D6580" w:rsidP="00822842">
            <w:pPr>
              <w:rPr>
                <w:rFonts w:ascii="Times New Roman" w:hAnsi="Times New Roman"/>
                <w:sz w:val="24"/>
              </w:rPr>
            </w:pPr>
            <w:r w:rsidRPr="005C3C78">
              <w:rPr>
                <w:rFonts w:ascii="Times New Roman" w:hAnsi="Times New Roman"/>
                <w:sz w:val="24"/>
              </w:rPr>
              <w:t>0020</w:t>
            </w:r>
          </w:p>
        </w:tc>
        <w:tc>
          <w:tcPr>
            <w:tcW w:w="8640" w:type="dxa"/>
          </w:tcPr>
          <w:p w14:paraId="460BDDF8"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Instellingen</w:t>
            </w:r>
          </w:p>
          <w:p w14:paraId="504F46A3" w14:textId="77777777" w:rsidR="009D6580" w:rsidRPr="005C3C78" w:rsidRDefault="009D6580" w:rsidP="00822842">
            <w:pPr>
              <w:rPr>
                <w:rFonts w:ascii="Times New Roman" w:hAnsi="Times New Roman"/>
                <w:sz w:val="24"/>
              </w:rPr>
            </w:pPr>
            <w:r w:rsidRPr="005C3C78">
              <w:rPr>
                <w:rFonts w:ascii="Times New Roman" w:hAnsi="Times New Roman"/>
                <w:sz w:val="24"/>
              </w:rPr>
              <w:t>Artikel 147, lid 2, punt b), van Verordening (EU) nr. 575/2013</w:t>
            </w:r>
          </w:p>
        </w:tc>
      </w:tr>
      <w:tr w:rsidR="009D6580" w:rsidRPr="005C3C78" w14:paraId="2B29BE20" w14:textId="77777777" w:rsidTr="00822842">
        <w:tc>
          <w:tcPr>
            <w:tcW w:w="1188" w:type="dxa"/>
          </w:tcPr>
          <w:p w14:paraId="521AA8B6" w14:textId="77777777" w:rsidR="009D6580" w:rsidRPr="005C3C78" w:rsidRDefault="009D6580" w:rsidP="00822842">
            <w:pPr>
              <w:rPr>
                <w:rFonts w:ascii="Times New Roman" w:hAnsi="Times New Roman"/>
                <w:sz w:val="24"/>
              </w:rPr>
            </w:pPr>
            <w:r w:rsidRPr="005C3C78">
              <w:rPr>
                <w:rFonts w:ascii="Times New Roman" w:hAnsi="Times New Roman"/>
                <w:sz w:val="24"/>
              </w:rPr>
              <w:t>0030</w:t>
            </w:r>
          </w:p>
        </w:tc>
        <w:tc>
          <w:tcPr>
            <w:tcW w:w="8640" w:type="dxa"/>
          </w:tcPr>
          <w:p w14:paraId="63C7233C"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 xml:space="preserve">Ondernemingen </w:t>
            </w:r>
          </w:p>
          <w:p w14:paraId="699F9BD2" w14:textId="77777777" w:rsidR="009D6580" w:rsidRPr="005C3C78" w:rsidRDefault="009D6580" w:rsidP="00822842">
            <w:pPr>
              <w:pStyle w:val="ListParagraph"/>
              <w:ind w:left="0"/>
              <w:rPr>
                <w:rFonts w:ascii="Times New Roman" w:hAnsi="Times New Roman"/>
                <w:sz w:val="24"/>
              </w:rPr>
            </w:pPr>
            <w:r w:rsidRPr="005C3C78">
              <w:rPr>
                <w:rFonts w:ascii="Times New Roman" w:hAnsi="Times New Roman"/>
                <w:sz w:val="24"/>
              </w:rPr>
              <w:t>Alle blootstellingen met betrekking tot ondernemingen als bedoeld in artikel 147, lid 2, punt c), van Verordening (EU) nr. 575/2013</w:t>
            </w:r>
          </w:p>
        </w:tc>
      </w:tr>
      <w:tr w:rsidR="009D6580" w:rsidRPr="005C3C78" w14:paraId="55C3FE5A" w14:textId="77777777" w:rsidTr="00822842">
        <w:tc>
          <w:tcPr>
            <w:tcW w:w="1188" w:type="dxa"/>
          </w:tcPr>
          <w:p w14:paraId="198D8F58" w14:textId="77777777" w:rsidR="009D6580" w:rsidRPr="005C3C78" w:rsidRDefault="009D6580" w:rsidP="00822842">
            <w:pPr>
              <w:rPr>
                <w:rFonts w:ascii="Times New Roman" w:hAnsi="Times New Roman"/>
                <w:sz w:val="24"/>
              </w:rPr>
            </w:pPr>
            <w:r w:rsidRPr="005C3C78">
              <w:rPr>
                <w:rFonts w:ascii="Times New Roman" w:hAnsi="Times New Roman"/>
                <w:sz w:val="24"/>
              </w:rPr>
              <w:t>0050</w:t>
            </w:r>
          </w:p>
        </w:tc>
        <w:tc>
          <w:tcPr>
            <w:tcW w:w="8640" w:type="dxa"/>
          </w:tcPr>
          <w:p w14:paraId="66C0F4F0"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Waarvan: Kmo</w:t>
            </w:r>
          </w:p>
          <w:p w14:paraId="13819074" w14:textId="77777777" w:rsidR="009D6580" w:rsidRPr="005C3C78" w:rsidRDefault="009D6580" w:rsidP="00822842">
            <w:pPr>
              <w:pStyle w:val="ListParagraph"/>
              <w:ind w:left="0"/>
              <w:rPr>
                <w:rFonts w:ascii="Times New Roman" w:hAnsi="Times New Roman"/>
                <w:sz w:val="24"/>
              </w:rPr>
            </w:pPr>
            <w:r w:rsidRPr="005C3C78">
              <w:rPr>
                <w:rFonts w:ascii="Times New Roman" w:hAnsi="Times New Roman"/>
                <w:sz w:val="24"/>
              </w:rPr>
              <w:t>Artikel 147, lid 2, punt c), van Verordening (EU) nr. 575/2013</w:t>
            </w:r>
          </w:p>
          <w:p w14:paraId="6C8F6FE1" w14:textId="408BCC75" w:rsidR="009D6580" w:rsidRPr="005C3C78" w:rsidRDefault="009D6580" w:rsidP="00822842">
            <w:pPr>
              <w:autoSpaceDE w:val="0"/>
              <w:autoSpaceDN w:val="0"/>
              <w:adjustRightInd w:val="0"/>
              <w:spacing w:before="0" w:after="0"/>
              <w:jc w:val="left"/>
              <w:rPr>
                <w:rFonts w:ascii="Times New Roman" w:hAnsi="Times New Roman"/>
                <w:sz w:val="24"/>
              </w:rPr>
            </w:pPr>
            <w:r w:rsidRPr="005C3C78">
              <w:rPr>
                <w:rFonts w:ascii="Times New Roman" w:hAnsi="Times New Roman"/>
                <w:sz w:val="24"/>
              </w:rPr>
              <w:t xml:space="preserve">Voor de indeling in deze sub-blootstellingscategorie gebruiken de rapporterende entiteiten de definitie van kmo van artikel 5, lid 9, van Verordening (EU) nr. 575/2013. </w:t>
            </w:r>
          </w:p>
        </w:tc>
      </w:tr>
      <w:tr w:rsidR="00B56773" w:rsidRPr="005C3C78"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5C3C78" w:rsidRDefault="00B56773" w:rsidP="007400C4">
            <w:pPr>
              <w:rPr>
                <w:rFonts w:ascii="Times New Roman" w:hAnsi="Times New Roman"/>
                <w:sz w:val="24"/>
              </w:rPr>
            </w:pPr>
            <w:r w:rsidRPr="005C3C78">
              <w:rPr>
                <w:rFonts w:ascii="Times New Roman" w:hAnsi="Times New Roman"/>
                <w:sz w:val="24"/>
              </w:rPr>
              <w:lastRenderedPageBreak/>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Pr="005C3C78" w:rsidRDefault="00B56773" w:rsidP="007400C4">
            <w:pPr>
              <w:rPr>
                <w:rFonts w:ascii="Times New Roman" w:hAnsi="Times New Roman"/>
                <w:b/>
                <w:sz w:val="24"/>
                <w:u w:val="single"/>
              </w:rPr>
            </w:pPr>
            <w:r w:rsidRPr="005C3C78">
              <w:rPr>
                <w:rFonts w:ascii="Times New Roman" w:hAnsi="Times New Roman"/>
                <w:b/>
                <w:sz w:val="24"/>
                <w:u w:val="single"/>
              </w:rPr>
              <w:t>Waarvan: Grote ondernemingen</w:t>
            </w:r>
          </w:p>
          <w:p w14:paraId="503F359E" w14:textId="77777777" w:rsidR="00B56773" w:rsidRPr="005C3C78" w:rsidRDefault="00B56773" w:rsidP="00B56773">
            <w:pPr>
              <w:rPr>
                <w:rFonts w:ascii="Times New Roman" w:hAnsi="Times New Roman"/>
                <w:bCs/>
                <w:sz w:val="24"/>
              </w:rPr>
            </w:pPr>
            <w:r w:rsidRPr="005C3C78">
              <w:rPr>
                <w:rFonts w:ascii="Times New Roman" w:hAnsi="Times New Roman"/>
                <w:sz w:val="24"/>
              </w:rPr>
              <w:t>Artikel 147, lid 2, punt c), van Verordening (EU) nr. 575/2013</w:t>
            </w:r>
          </w:p>
          <w:p w14:paraId="23F8CBD6" w14:textId="77777777" w:rsidR="00B56773" w:rsidRPr="005C3C78" w:rsidRDefault="00B56773" w:rsidP="007400C4">
            <w:pPr>
              <w:rPr>
                <w:rFonts w:ascii="Times New Roman" w:hAnsi="Times New Roman"/>
                <w:b/>
                <w:sz w:val="24"/>
                <w:u w:val="single"/>
              </w:rPr>
            </w:pPr>
            <w:r w:rsidRPr="005C3C78">
              <w:rPr>
                <w:rFonts w:ascii="Times New Roman" w:hAnsi="Times New Roman"/>
                <w:sz w:val="24"/>
              </w:rPr>
              <w:t>Voor de indeling in deze sub-blootstellingscategorie gebruiken de rapporterende entiteiten de definitie van grote onderneming van artikel 142, lid 1, punt 5 bis, van Verordening (EU) nr. 575/2013.</w:t>
            </w:r>
            <w:r w:rsidRPr="005C3C78">
              <w:rPr>
                <w:rFonts w:ascii="Times New Roman" w:hAnsi="Times New Roman"/>
                <w:b/>
                <w:sz w:val="24"/>
                <w:u w:val="single"/>
              </w:rPr>
              <w:t xml:space="preserve"> </w:t>
            </w:r>
          </w:p>
        </w:tc>
      </w:tr>
      <w:tr w:rsidR="00B56773" w:rsidRPr="005C3C78"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5C3C78" w:rsidDel="000306F2" w:rsidRDefault="00B56773" w:rsidP="007400C4">
            <w:pPr>
              <w:rPr>
                <w:rFonts w:ascii="Times New Roman" w:hAnsi="Times New Roman"/>
                <w:sz w:val="24"/>
              </w:rPr>
            </w:pPr>
            <w:r w:rsidRPr="005C3C78">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Pr="005C3C78" w:rsidRDefault="00B56773" w:rsidP="007400C4">
            <w:pPr>
              <w:rPr>
                <w:rFonts w:ascii="Times New Roman" w:hAnsi="Times New Roman"/>
                <w:b/>
                <w:sz w:val="24"/>
                <w:u w:val="single"/>
              </w:rPr>
            </w:pPr>
            <w:r w:rsidRPr="005C3C78">
              <w:rPr>
                <w:rFonts w:ascii="Times New Roman" w:hAnsi="Times New Roman"/>
                <w:b/>
                <w:sz w:val="24"/>
                <w:u w:val="single"/>
              </w:rPr>
              <w:t>Gespecialiseerde kredietverlening</w:t>
            </w:r>
          </w:p>
          <w:p w14:paraId="510C1D3E" w14:textId="683EFC86" w:rsidR="00B56773" w:rsidRPr="005C3C78" w:rsidDel="000306F2" w:rsidRDefault="00B56773" w:rsidP="007400C4">
            <w:pPr>
              <w:rPr>
                <w:rFonts w:ascii="Times New Roman" w:hAnsi="Times New Roman"/>
                <w:bCs/>
                <w:sz w:val="24"/>
              </w:rPr>
            </w:pPr>
            <w:r w:rsidRPr="005C3C78">
              <w:rPr>
                <w:rFonts w:ascii="Times New Roman" w:hAnsi="Times New Roman"/>
                <w:sz w:val="24"/>
              </w:rPr>
              <w:t>Artikel 147, lid 2, punt c), ii), van Verordening (EU) nr. 575/2013 1.</w:t>
            </w:r>
          </w:p>
        </w:tc>
      </w:tr>
      <w:tr w:rsidR="00B56773" w:rsidRPr="005C3C78" w14:paraId="36179D5A" w14:textId="77777777" w:rsidTr="00822842">
        <w:tc>
          <w:tcPr>
            <w:tcW w:w="1188" w:type="dxa"/>
            <w:shd w:val="clear" w:color="auto" w:fill="auto"/>
          </w:tcPr>
          <w:p w14:paraId="7AF18366" w14:textId="6A1B1DDE" w:rsidR="00B56773" w:rsidRPr="005C3C78" w:rsidRDefault="00B56773" w:rsidP="00822842">
            <w:pPr>
              <w:rPr>
                <w:rFonts w:ascii="Times New Roman" w:hAnsi="Times New Roman"/>
                <w:sz w:val="24"/>
              </w:rPr>
            </w:pPr>
            <w:r w:rsidRPr="005C3C78">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5C3C78" w:rsidRDefault="00B56773" w:rsidP="00B56773">
            <w:pPr>
              <w:rPr>
                <w:rFonts w:ascii="Times New Roman" w:hAnsi="Times New Roman"/>
                <w:b/>
                <w:sz w:val="24"/>
              </w:rPr>
            </w:pPr>
            <w:r w:rsidRPr="005C3C78">
              <w:rPr>
                <w:rFonts w:ascii="Times New Roman" w:hAnsi="Times New Roman"/>
                <w:b/>
                <w:sz w:val="24"/>
                <w:u w:val="single"/>
              </w:rPr>
              <w:t>Gespecialiseerde kredietverlening</w:t>
            </w:r>
            <w:r w:rsidRPr="005C3C78">
              <w:rPr>
                <w:rFonts w:ascii="Times New Roman" w:hAnsi="Times New Roman"/>
                <w:b/>
                <w:sz w:val="24"/>
              </w:rPr>
              <w:t xml:space="preserve"> – soorten blootstellingen uit hoofde van gespecialiseerde kredietverlening</w:t>
            </w:r>
          </w:p>
          <w:p w14:paraId="1E4AC942" w14:textId="49F536D6" w:rsidR="00B56773" w:rsidRPr="005C3C78" w:rsidRDefault="00B56773" w:rsidP="00822842">
            <w:pPr>
              <w:rPr>
                <w:rFonts w:ascii="Times New Roman" w:hAnsi="Times New Roman"/>
                <w:bCs/>
                <w:sz w:val="24"/>
              </w:rPr>
            </w:pPr>
            <w:r w:rsidRPr="005C3C78">
              <w:rPr>
                <w:rFonts w:ascii="Times New Roman" w:hAnsi="Times New Roman"/>
                <w:sz w:val="24"/>
              </w:rPr>
              <w:t>De instellingen rapporteren de volgende soorten blootstellingen uit hoofde van gespecialiseerde kredietverlening bedoeld in artikel 147, lid 8, tweede alinea, in de desbetreffende rij: gespecialiseerde kredietverlening “project”, “objectfinanciering”, “grondstoffenfinanciering” en “inkomstengenererend onroerend goed” (IPRE).</w:t>
            </w:r>
          </w:p>
        </w:tc>
      </w:tr>
      <w:tr w:rsidR="009D6580" w:rsidRPr="005C3C78" w14:paraId="1E272EAA" w14:textId="77777777" w:rsidTr="00822842">
        <w:tc>
          <w:tcPr>
            <w:tcW w:w="1188" w:type="dxa"/>
            <w:shd w:val="clear" w:color="auto" w:fill="auto"/>
          </w:tcPr>
          <w:p w14:paraId="5B01A706" w14:textId="2033B95F" w:rsidR="009D6580" w:rsidRPr="005C3C78" w:rsidRDefault="009D6580" w:rsidP="00822842">
            <w:pPr>
              <w:rPr>
                <w:rFonts w:ascii="Times New Roman" w:hAnsi="Times New Roman"/>
                <w:sz w:val="24"/>
              </w:rPr>
            </w:pPr>
            <w:r w:rsidRPr="005C3C78">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Gekochte kortlopende vorderingen</w:t>
            </w:r>
          </w:p>
          <w:p w14:paraId="40628222"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Artikel 147, lid 2, punt c), iii), van Verordening (EU) nr. 575/2013.</w:t>
            </w:r>
          </w:p>
        </w:tc>
      </w:tr>
      <w:tr w:rsidR="00F16E4D" w:rsidRPr="005C3C78" w14:paraId="27B47EEA" w14:textId="77777777" w:rsidTr="00822842">
        <w:tc>
          <w:tcPr>
            <w:tcW w:w="1188" w:type="dxa"/>
          </w:tcPr>
          <w:p w14:paraId="329ABF25" w14:textId="3906F1E5" w:rsidR="00F16E4D" w:rsidRPr="005C3C78" w:rsidRDefault="00F16E4D" w:rsidP="00822842">
            <w:pPr>
              <w:rPr>
                <w:rFonts w:ascii="Times New Roman" w:hAnsi="Times New Roman"/>
                <w:sz w:val="24"/>
              </w:rPr>
            </w:pPr>
            <w:r w:rsidRPr="005C3C78">
              <w:rPr>
                <w:rFonts w:ascii="Times New Roman" w:hAnsi="Times New Roman"/>
                <w:sz w:val="24"/>
              </w:rPr>
              <w:t>0058</w:t>
            </w:r>
          </w:p>
        </w:tc>
        <w:tc>
          <w:tcPr>
            <w:tcW w:w="8640" w:type="dxa"/>
          </w:tcPr>
          <w:p w14:paraId="27CFAA09" w14:textId="513D8D7F" w:rsidR="00F16E4D" w:rsidRPr="005C3C78" w:rsidRDefault="00F16E4D" w:rsidP="00822842">
            <w:pPr>
              <w:rPr>
                <w:rFonts w:ascii="Times New Roman" w:hAnsi="Times New Roman"/>
                <w:b/>
                <w:sz w:val="24"/>
                <w:u w:val="single"/>
              </w:rPr>
            </w:pPr>
            <w:r w:rsidRPr="005C3C78">
              <w:rPr>
                <w:rFonts w:ascii="Times New Roman" w:hAnsi="Times New Roman"/>
                <w:b/>
                <w:sz w:val="24"/>
                <w:u w:val="single"/>
              </w:rPr>
              <w:t>Andere</w:t>
            </w:r>
          </w:p>
          <w:p w14:paraId="75A3CB20" w14:textId="69737D7D" w:rsidR="00F16E4D" w:rsidRPr="005C3C78" w:rsidRDefault="00F16E4D" w:rsidP="00822842">
            <w:pPr>
              <w:rPr>
                <w:rFonts w:ascii="Times New Roman" w:hAnsi="Times New Roman"/>
                <w:b/>
                <w:sz w:val="24"/>
                <w:u w:val="single"/>
              </w:rPr>
            </w:pPr>
            <w:r w:rsidRPr="005C3C78">
              <w:rPr>
                <w:rFonts w:ascii="Times New Roman" w:hAnsi="Times New Roman"/>
                <w:sz w:val="24"/>
              </w:rPr>
              <w:t>Artikel 147, lid 2, punt c), i), van Verordening (EU) nr. 575/2013</w:t>
            </w:r>
          </w:p>
        </w:tc>
      </w:tr>
      <w:tr w:rsidR="009D6580" w:rsidRPr="005C3C78" w14:paraId="3CAC5C4A" w14:textId="77777777" w:rsidTr="00822842">
        <w:tc>
          <w:tcPr>
            <w:tcW w:w="1188" w:type="dxa"/>
          </w:tcPr>
          <w:p w14:paraId="50AFEE21" w14:textId="77777777" w:rsidR="009D6580" w:rsidRPr="005C3C78" w:rsidRDefault="009D6580" w:rsidP="00822842">
            <w:pPr>
              <w:rPr>
                <w:rFonts w:ascii="Times New Roman" w:hAnsi="Times New Roman"/>
                <w:sz w:val="24"/>
              </w:rPr>
            </w:pPr>
            <w:r w:rsidRPr="005C3C78">
              <w:rPr>
                <w:rFonts w:ascii="Times New Roman" w:hAnsi="Times New Roman"/>
                <w:sz w:val="24"/>
              </w:rPr>
              <w:t>0060</w:t>
            </w:r>
          </w:p>
        </w:tc>
        <w:tc>
          <w:tcPr>
            <w:tcW w:w="8640" w:type="dxa"/>
          </w:tcPr>
          <w:p w14:paraId="084F36E4"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Particulieren en kleine partijen</w:t>
            </w:r>
          </w:p>
          <w:p w14:paraId="61F98691" w14:textId="77777777" w:rsidR="009D6580" w:rsidRPr="005C3C78" w:rsidRDefault="009D6580" w:rsidP="00822842">
            <w:pPr>
              <w:rPr>
                <w:rFonts w:ascii="Times New Roman" w:hAnsi="Times New Roman"/>
                <w:sz w:val="24"/>
              </w:rPr>
            </w:pPr>
            <w:r w:rsidRPr="005C3C78">
              <w:rPr>
                <w:rFonts w:ascii="Times New Roman" w:hAnsi="Times New Roman"/>
                <w:sz w:val="24"/>
              </w:rPr>
              <w:t>Alle blootstellingen met betrekking tot particulieren en kleine partijen als bedoeld in artikel 147, lid 2, punt d), van Verordening (EU) nr. 575/2013</w:t>
            </w:r>
          </w:p>
        </w:tc>
      </w:tr>
      <w:tr w:rsidR="009D6580" w:rsidRPr="005C3C78" w14:paraId="3126FC45" w14:textId="77777777" w:rsidTr="00822842">
        <w:tc>
          <w:tcPr>
            <w:tcW w:w="1188" w:type="dxa"/>
          </w:tcPr>
          <w:p w14:paraId="3B5D6723" w14:textId="77777777" w:rsidR="009D6580" w:rsidRPr="005C3C78" w:rsidRDefault="009D6580" w:rsidP="00822842">
            <w:pPr>
              <w:rPr>
                <w:rFonts w:ascii="Times New Roman" w:hAnsi="Times New Roman"/>
                <w:sz w:val="24"/>
              </w:rPr>
            </w:pPr>
            <w:r w:rsidRPr="005C3C78">
              <w:rPr>
                <w:rFonts w:ascii="Times New Roman" w:hAnsi="Times New Roman"/>
                <w:sz w:val="24"/>
              </w:rPr>
              <w:t>0070</w:t>
            </w:r>
          </w:p>
        </w:tc>
        <w:tc>
          <w:tcPr>
            <w:tcW w:w="8640" w:type="dxa"/>
          </w:tcPr>
          <w:p w14:paraId="094A84E8" w14:textId="1D426AD8" w:rsidR="009D6580" w:rsidRPr="005C3C78" w:rsidRDefault="005B37F0" w:rsidP="00822842">
            <w:pPr>
              <w:rPr>
                <w:rFonts w:ascii="Times New Roman" w:hAnsi="Times New Roman"/>
                <w:b/>
                <w:sz w:val="24"/>
                <w:u w:val="single"/>
              </w:rPr>
            </w:pPr>
            <w:r w:rsidRPr="005C3C78">
              <w:rPr>
                <w:rFonts w:ascii="Times New Roman" w:hAnsi="Times New Roman"/>
                <w:b/>
                <w:sz w:val="24"/>
                <w:u w:val="single"/>
              </w:rPr>
              <w:t>Waarvan: Particulieren en kleine partijen – Gedekt door onroerend goed</w:t>
            </w:r>
          </w:p>
          <w:p w14:paraId="35B1F6E7" w14:textId="4962CAD8" w:rsidR="00FD0F61" w:rsidRPr="005C3C78" w:rsidRDefault="00FD0F61" w:rsidP="00822842">
            <w:pPr>
              <w:pStyle w:val="ListParagraph"/>
              <w:ind w:left="0"/>
              <w:rPr>
                <w:rFonts w:ascii="Times New Roman" w:hAnsi="Times New Roman"/>
                <w:sz w:val="24"/>
              </w:rPr>
            </w:pPr>
            <w:r w:rsidRPr="005C3C78">
              <w:rPr>
                <w:rFonts w:ascii="Times New Roman" w:hAnsi="Times New Roman"/>
                <w:sz w:val="24"/>
              </w:rPr>
              <w:t>Blootstellingen met betrekking tot particulieren en kleine partijen als bedoeld in artikel 147, lid 2, punt d), van Verordening (EU) nr. 575/2013, die worden gedekt door onroerend goed als bedoeld in artikel 4, lid 1, punt 75, d), van Verordening (EU) nr. 575/2013.</w:t>
            </w:r>
          </w:p>
          <w:p w14:paraId="0CD06107" w14:textId="22291817" w:rsidR="009D6580" w:rsidRPr="005C3C78" w:rsidRDefault="00FD0F61" w:rsidP="00822842">
            <w:pPr>
              <w:pStyle w:val="ListParagraph"/>
              <w:ind w:left="0"/>
              <w:rPr>
                <w:rFonts w:ascii="Times New Roman" w:hAnsi="Times New Roman"/>
                <w:sz w:val="24"/>
              </w:rPr>
            </w:pPr>
            <w:r w:rsidRPr="005C3C78">
              <w:rPr>
                <w:rFonts w:ascii="Times New Roman" w:hAnsi="Times New Roman"/>
                <w:sz w:val="24"/>
              </w:rPr>
              <w:t>.</w:t>
            </w:r>
          </w:p>
        </w:tc>
      </w:tr>
      <w:tr w:rsidR="009D6580" w:rsidRPr="005C3C78" w14:paraId="49CD7917" w14:textId="77777777" w:rsidTr="00822842">
        <w:tc>
          <w:tcPr>
            <w:tcW w:w="1188" w:type="dxa"/>
          </w:tcPr>
          <w:p w14:paraId="3FA8BBC8" w14:textId="77777777" w:rsidR="009D6580" w:rsidRPr="005C3C78" w:rsidRDefault="009D6580" w:rsidP="00822842">
            <w:pPr>
              <w:rPr>
                <w:rFonts w:ascii="Times New Roman" w:hAnsi="Times New Roman"/>
                <w:sz w:val="24"/>
              </w:rPr>
            </w:pPr>
            <w:r w:rsidRPr="005C3C78">
              <w:rPr>
                <w:rFonts w:ascii="Times New Roman" w:hAnsi="Times New Roman"/>
                <w:sz w:val="24"/>
              </w:rPr>
              <w:t>0080</w:t>
            </w:r>
          </w:p>
        </w:tc>
        <w:tc>
          <w:tcPr>
            <w:tcW w:w="8640" w:type="dxa"/>
          </w:tcPr>
          <w:p w14:paraId="4738C3E5" w14:textId="186F9DD4" w:rsidR="009D6580" w:rsidRPr="005C3C78" w:rsidRDefault="00FD0F61" w:rsidP="00822842">
            <w:pPr>
              <w:rPr>
                <w:rFonts w:ascii="Times New Roman" w:hAnsi="Times New Roman"/>
                <w:b/>
                <w:sz w:val="24"/>
                <w:u w:val="single"/>
              </w:rPr>
            </w:pPr>
            <w:r w:rsidRPr="005C3C78">
              <w:rPr>
                <w:rFonts w:ascii="Times New Roman" w:hAnsi="Times New Roman"/>
                <w:b/>
                <w:sz w:val="24"/>
                <w:u w:val="single"/>
              </w:rPr>
              <w:t>Waarvan: Kmo</w:t>
            </w:r>
          </w:p>
          <w:p w14:paraId="67BFF2AB" w14:textId="02FB7D89" w:rsidR="009D6580" w:rsidRPr="005C3C78" w:rsidRDefault="00FD0F61" w:rsidP="00822842">
            <w:pPr>
              <w:pStyle w:val="ListParagraph"/>
              <w:ind w:left="0"/>
              <w:rPr>
                <w:rFonts w:ascii="Times New Roman" w:hAnsi="Times New Roman"/>
                <w:sz w:val="24"/>
              </w:rPr>
            </w:pPr>
            <w:r w:rsidRPr="005C3C78">
              <w:rPr>
                <w:rFonts w:ascii="Times New Roman" w:hAnsi="Times New Roman"/>
                <w:sz w:val="24"/>
              </w:rPr>
              <w:t xml:space="preserve">Blootstellingen met betrekking tot particulieren en kleine partijen als bedoeld in artikel 147, lid 2, punt d), van Verordening (EU) nr. 575/2013, gerapporteerd onder B.6.1 tot en met B.6.4, die worden gedekt door onroerend goed als bedoeld in artikel 4, lid 1, punt 75, d), van Verordening (EU) nr. 575/2013, juncto artikel 5, lid 8, van Verordening (EU) nr. 575/2013. </w:t>
            </w:r>
          </w:p>
        </w:tc>
      </w:tr>
      <w:tr w:rsidR="009D6580" w:rsidRPr="005C3C78" w14:paraId="7A63D877" w14:textId="77777777" w:rsidTr="00822842">
        <w:tc>
          <w:tcPr>
            <w:tcW w:w="1188" w:type="dxa"/>
            <w:shd w:val="clear" w:color="auto" w:fill="auto"/>
          </w:tcPr>
          <w:p w14:paraId="59E6C6E6" w14:textId="77777777" w:rsidR="009D6580" w:rsidRPr="005C3C78" w:rsidRDefault="009D6580" w:rsidP="00822842">
            <w:pPr>
              <w:rPr>
                <w:rFonts w:ascii="Times New Roman" w:hAnsi="Times New Roman"/>
                <w:sz w:val="24"/>
              </w:rPr>
            </w:pPr>
            <w:r w:rsidRPr="005C3C78">
              <w:rPr>
                <w:rFonts w:ascii="Times New Roman" w:hAnsi="Times New Roman"/>
                <w:sz w:val="24"/>
              </w:rPr>
              <w:t>0090</w:t>
            </w:r>
          </w:p>
        </w:tc>
        <w:tc>
          <w:tcPr>
            <w:tcW w:w="8640" w:type="dxa"/>
            <w:shd w:val="clear" w:color="auto" w:fill="auto"/>
          </w:tcPr>
          <w:p w14:paraId="05695520" w14:textId="39C15E5F" w:rsidR="009D6580" w:rsidRPr="005C3C78" w:rsidRDefault="00837F98" w:rsidP="00822842">
            <w:pPr>
              <w:rPr>
                <w:rFonts w:ascii="Times New Roman" w:hAnsi="Times New Roman"/>
                <w:b/>
                <w:sz w:val="24"/>
                <w:u w:val="single"/>
              </w:rPr>
            </w:pPr>
            <w:r w:rsidRPr="005C3C78">
              <w:rPr>
                <w:rFonts w:ascii="Times New Roman" w:hAnsi="Times New Roman"/>
                <w:b/>
                <w:sz w:val="24"/>
                <w:u w:val="single"/>
              </w:rPr>
              <w:t>Waarvan: Niet-kmo’s</w:t>
            </w:r>
          </w:p>
          <w:p w14:paraId="68647661" w14:textId="272EAD03" w:rsidR="00837F98" w:rsidRPr="005C3C78" w:rsidRDefault="00837F98" w:rsidP="00234FB5">
            <w:pPr>
              <w:pStyle w:val="ListParagraph"/>
              <w:autoSpaceDE w:val="0"/>
              <w:autoSpaceDN w:val="0"/>
              <w:adjustRightInd w:val="0"/>
              <w:spacing w:before="0" w:after="0"/>
              <w:ind w:left="0"/>
              <w:jc w:val="left"/>
              <w:rPr>
                <w:rFonts w:ascii="Times New Roman" w:hAnsi="Times New Roman"/>
                <w:sz w:val="24"/>
              </w:rPr>
            </w:pPr>
            <w:r w:rsidRPr="005C3C78">
              <w:rPr>
                <w:rFonts w:ascii="Times New Roman" w:hAnsi="Times New Roman"/>
                <w:sz w:val="24"/>
              </w:rPr>
              <w:t>Blootstellingen met betrekking tot particulieren en kleine partijen als bedoeld in artikel 147, lid 2, punt d), van Verordening (EU) nr. 575/2013, gerapporteerd onder B.6.1 tot en met B.6.4, die worden gedekt door onroerend goed als bedoeld in artikel 4, lid 1, punt 75, d), van Verordening (EU) nr. 575/2013, niet juncto artikel 5, lid 8, van Verordening (EU) nr. 575/2013.</w:t>
            </w:r>
          </w:p>
          <w:p w14:paraId="34F371DC" w14:textId="683F21EB" w:rsidR="009D6580" w:rsidRPr="005C3C78" w:rsidRDefault="009D6580" w:rsidP="00822842">
            <w:pPr>
              <w:pStyle w:val="ListParagraph"/>
              <w:ind w:left="0"/>
              <w:rPr>
                <w:rFonts w:ascii="Times New Roman" w:hAnsi="Times New Roman"/>
                <w:bCs/>
                <w:sz w:val="24"/>
              </w:rPr>
            </w:pPr>
          </w:p>
        </w:tc>
      </w:tr>
      <w:tr w:rsidR="00910F63" w:rsidRPr="005C3C78"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5C3C78" w:rsidRDefault="00910F63" w:rsidP="007400C4">
            <w:pPr>
              <w:rPr>
                <w:rFonts w:ascii="Times New Roman" w:hAnsi="Times New Roman"/>
                <w:sz w:val="24"/>
              </w:rPr>
            </w:pPr>
            <w:r w:rsidRPr="005C3C78">
              <w:rPr>
                <w:rFonts w:ascii="Times New Roman" w:hAnsi="Times New Roman"/>
                <w:sz w:val="24"/>
              </w:rPr>
              <w:lastRenderedPageBreak/>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5C3C78" w:rsidRDefault="00910F63" w:rsidP="007400C4">
            <w:pPr>
              <w:rPr>
                <w:rFonts w:ascii="Times New Roman" w:hAnsi="Times New Roman"/>
                <w:b/>
                <w:sz w:val="24"/>
                <w:u w:val="single"/>
              </w:rPr>
            </w:pPr>
            <w:r w:rsidRPr="005C3C78">
              <w:rPr>
                <w:rFonts w:ascii="Times New Roman" w:hAnsi="Times New Roman"/>
                <w:b/>
                <w:sz w:val="24"/>
                <w:u w:val="single"/>
              </w:rPr>
              <w:t>Gedekt door niet-zakelijk onroerend goed</w:t>
            </w:r>
          </w:p>
          <w:p w14:paraId="3B8B837D" w14:textId="77777777" w:rsidR="00910F63" w:rsidRPr="005C3C78" w:rsidRDefault="00910F63" w:rsidP="00910F63">
            <w:pPr>
              <w:rPr>
                <w:rFonts w:ascii="Times New Roman" w:hAnsi="Times New Roman"/>
                <w:bCs/>
                <w:sz w:val="24"/>
              </w:rPr>
            </w:pPr>
            <w:r w:rsidRPr="005C3C78">
              <w:rPr>
                <w:rFonts w:ascii="Times New Roman" w:hAnsi="Times New Roman"/>
                <w:sz w:val="24"/>
              </w:rPr>
              <w:t>Blootstellingen met betrekking tot particulieren en kleine partijen als bedoeld in artikel 147, lid 2, punt d), ii), van Verordening (EU) nr. 575/2013.</w:t>
            </w:r>
          </w:p>
          <w:p w14:paraId="7240267A" w14:textId="77777777" w:rsidR="00910F63" w:rsidRPr="005C3C78" w:rsidRDefault="00910F63" w:rsidP="007400C4">
            <w:pPr>
              <w:rPr>
                <w:rFonts w:ascii="Times New Roman" w:hAnsi="Times New Roman"/>
                <w:b/>
                <w:sz w:val="24"/>
                <w:u w:val="single"/>
              </w:rPr>
            </w:pPr>
            <w:r w:rsidRPr="005C3C78">
              <w:rPr>
                <w:rFonts w:ascii="Times New Roman" w:hAnsi="Times New Roman"/>
                <w:sz w:val="24"/>
              </w:rPr>
              <w:t>Alle blootstellingen met betrekking tot particulieren en kleine partijen die door als zekerheid erkend niet-zakelijk onroerend goed worden gedekt, zullen worden beschouwd als door niet-zakelijk onroerend goed gedekte blootstellingen met betrekking tot particulieren en kleine partijen, ongeacht de verhouding tussen de waarde van de zekerheid en de blootstelling of het doel van de lening.</w:t>
            </w:r>
          </w:p>
        </w:tc>
      </w:tr>
      <w:tr w:rsidR="009D6580" w:rsidRPr="005C3C78" w14:paraId="38AD5BBA" w14:textId="77777777" w:rsidTr="00822842">
        <w:tc>
          <w:tcPr>
            <w:tcW w:w="1188" w:type="dxa"/>
          </w:tcPr>
          <w:p w14:paraId="48A5C8D2" w14:textId="77777777" w:rsidR="009D6580" w:rsidRPr="005C3C78" w:rsidRDefault="009D6580" w:rsidP="00822842">
            <w:pPr>
              <w:rPr>
                <w:rFonts w:ascii="Times New Roman" w:hAnsi="Times New Roman"/>
                <w:sz w:val="24"/>
              </w:rPr>
            </w:pPr>
            <w:r w:rsidRPr="005C3C78">
              <w:rPr>
                <w:rFonts w:ascii="Times New Roman" w:hAnsi="Times New Roman"/>
                <w:sz w:val="24"/>
              </w:rPr>
              <w:t>0100</w:t>
            </w:r>
          </w:p>
        </w:tc>
        <w:tc>
          <w:tcPr>
            <w:tcW w:w="8640" w:type="dxa"/>
          </w:tcPr>
          <w:p w14:paraId="1B160106" w14:textId="7C65E11F"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Gekwalificeerd revolverend</w:t>
            </w:r>
          </w:p>
          <w:p w14:paraId="363209C3" w14:textId="77777777" w:rsidR="009D6580" w:rsidRPr="005C3C78" w:rsidRDefault="009D6580" w:rsidP="00822842">
            <w:pPr>
              <w:pStyle w:val="ListParagraph"/>
              <w:ind w:left="0"/>
              <w:rPr>
                <w:rFonts w:ascii="Times New Roman" w:hAnsi="Times New Roman"/>
                <w:sz w:val="24"/>
              </w:rPr>
            </w:pPr>
            <w:r w:rsidRPr="005C3C78">
              <w:rPr>
                <w:rFonts w:ascii="Times New Roman" w:hAnsi="Times New Roman"/>
                <w:sz w:val="24"/>
              </w:rPr>
              <w:t>Blootstellingen met betrekking tot particulieren en kleine partijen als bedoeld in artikel 147, lid 2, punt d), i), van Verordening (EU) nr. 575/2013, juncto artikel 154, lid 4, van die verordening.</w:t>
            </w:r>
          </w:p>
        </w:tc>
      </w:tr>
      <w:tr w:rsidR="009D6580" w:rsidRPr="005C3C78" w14:paraId="26D0338D" w14:textId="77777777" w:rsidTr="00822842">
        <w:tc>
          <w:tcPr>
            <w:tcW w:w="1188" w:type="dxa"/>
          </w:tcPr>
          <w:p w14:paraId="6DA4B8E6" w14:textId="77777777" w:rsidR="009D6580" w:rsidRPr="005C3C78" w:rsidRDefault="009D6580" w:rsidP="00822842">
            <w:pPr>
              <w:rPr>
                <w:rFonts w:ascii="Times New Roman" w:hAnsi="Times New Roman"/>
                <w:sz w:val="24"/>
              </w:rPr>
            </w:pPr>
            <w:r w:rsidRPr="005C3C78">
              <w:rPr>
                <w:rFonts w:ascii="Times New Roman" w:hAnsi="Times New Roman"/>
                <w:sz w:val="24"/>
              </w:rPr>
              <w:t>0105</w:t>
            </w:r>
          </w:p>
        </w:tc>
        <w:tc>
          <w:tcPr>
            <w:tcW w:w="8640" w:type="dxa"/>
          </w:tcPr>
          <w:p w14:paraId="63563096" w14:textId="485ECEE6"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Gekochte kortlopende vorderingen</w:t>
            </w:r>
          </w:p>
          <w:p w14:paraId="7C92CD05" w14:textId="77777777" w:rsidR="009D6580" w:rsidRPr="005C3C78" w:rsidRDefault="009D6580" w:rsidP="00822842">
            <w:pPr>
              <w:rPr>
                <w:rFonts w:ascii="Times New Roman" w:hAnsi="Times New Roman"/>
                <w:sz w:val="18"/>
                <w:szCs w:val="18"/>
              </w:rPr>
            </w:pPr>
            <w:r w:rsidRPr="005C3C78">
              <w:rPr>
                <w:rFonts w:ascii="Times New Roman" w:hAnsi="Times New Roman"/>
                <w:sz w:val="24"/>
              </w:rPr>
              <w:t>Blootstellingen met betrekking tot particulieren en kleine partijen als bedoeld in artikel 147, lid 2, punt d), iii) van Verordening (EU) nr. 575/2013.</w:t>
            </w:r>
          </w:p>
        </w:tc>
      </w:tr>
      <w:tr w:rsidR="009D6580" w:rsidRPr="005C3C78" w14:paraId="551F153F" w14:textId="77777777" w:rsidTr="00822842">
        <w:tc>
          <w:tcPr>
            <w:tcW w:w="1188" w:type="dxa"/>
          </w:tcPr>
          <w:p w14:paraId="1C567015" w14:textId="77777777" w:rsidR="009D6580" w:rsidRPr="005C3C78" w:rsidRDefault="009D6580" w:rsidP="00822842">
            <w:pPr>
              <w:rPr>
                <w:rFonts w:ascii="Times New Roman" w:hAnsi="Times New Roman"/>
                <w:sz w:val="24"/>
              </w:rPr>
            </w:pPr>
            <w:r w:rsidRPr="005C3C78">
              <w:rPr>
                <w:rFonts w:ascii="Times New Roman" w:hAnsi="Times New Roman"/>
                <w:sz w:val="24"/>
              </w:rPr>
              <w:t>0110</w:t>
            </w:r>
          </w:p>
        </w:tc>
        <w:tc>
          <w:tcPr>
            <w:tcW w:w="8640" w:type="dxa"/>
          </w:tcPr>
          <w:p w14:paraId="3B169086" w14:textId="5BA51B78"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Andere particulieren en kleine partijen</w:t>
            </w:r>
          </w:p>
          <w:p w14:paraId="6BB335AD" w14:textId="5184DC86" w:rsidR="009D6580" w:rsidRPr="005C3C78" w:rsidRDefault="009D6580" w:rsidP="00822842">
            <w:pPr>
              <w:pStyle w:val="ListParagraph"/>
              <w:ind w:left="0"/>
              <w:rPr>
                <w:rFonts w:ascii="Times New Roman" w:hAnsi="Times New Roman"/>
                <w:sz w:val="24"/>
              </w:rPr>
            </w:pPr>
            <w:r w:rsidRPr="005C3C78">
              <w:rPr>
                <w:rFonts w:ascii="Times New Roman" w:hAnsi="Times New Roman"/>
                <w:sz w:val="24"/>
              </w:rPr>
              <w:t>Andere blootstellingen met betrekking tot particulieren en kleine partijen als bedoeld in artikel 147, lid 2, punt d), iv) van Verordening (EU) nr. 575/2013.</w:t>
            </w:r>
          </w:p>
        </w:tc>
      </w:tr>
      <w:tr w:rsidR="009D6580" w:rsidRPr="005C3C78" w14:paraId="1879AB2D" w14:textId="77777777" w:rsidTr="00822842">
        <w:tc>
          <w:tcPr>
            <w:tcW w:w="1188" w:type="dxa"/>
          </w:tcPr>
          <w:p w14:paraId="247F0534" w14:textId="77777777" w:rsidR="009D6580" w:rsidRPr="005C3C78" w:rsidRDefault="009D6580" w:rsidP="00822842">
            <w:pPr>
              <w:rPr>
                <w:rFonts w:ascii="Times New Roman" w:hAnsi="Times New Roman"/>
                <w:sz w:val="24"/>
              </w:rPr>
            </w:pPr>
            <w:r w:rsidRPr="005C3C78">
              <w:rPr>
                <w:rFonts w:ascii="Times New Roman" w:hAnsi="Times New Roman"/>
                <w:sz w:val="24"/>
              </w:rPr>
              <w:t>0120</w:t>
            </w:r>
          </w:p>
        </w:tc>
        <w:tc>
          <w:tcPr>
            <w:tcW w:w="8640" w:type="dxa"/>
          </w:tcPr>
          <w:p w14:paraId="37F76446" w14:textId="0C2F5C96" w:rsidR="009D6580" w:rsidRPr="005C3C78" w:rsidRDefault="00837F98" w:rsidP="00822842">
            <w:pPr>
              <w:rPr>
                <w:rFonts w:ascii="Times New Roman" w:hAnsi="Times New Roman"/>
                <w:b/>
                <w:sz w:val="24"/>
                <w:u w:val="single"/>
              </w:rPr>
            </w:pPr>
            <w:r w:rsidRPr="005C3C78">
              <w:rPr>
                <w:rFonts w:ascii="Times New Roman" w:hAnsi="Times New Roman"/>
                <w:b/>
                <w:sz w:val="24"/>
                <w:u w:val="single"/>
              </w:rPr>
              <w:t>Waarvan: Kmo</w:t>
            </w:r>
          </w:p>
          <w:p w14:paraId="28CE96BD" w14:textId="7A3420F8" w:rsidR="009D6580" w:rsidRPr="005C3C78" w:rsidRDefault="009D6580" w:rsidP="00822842">
            <w:pPr>
              <w:pStyle w:val="ListParagraph"/>
              <w:ind w:left="0"/>
              <w:rPr>
                <w:rFonts w:ascii="Times New Roman" w:hAnsi="Times New Roman"/>
                <w:sz w:val="24"/>
              </w:rPr>
            </w:pPr>
            <w:r w:rsidRPr="005C3C78">
              <w:rPr>
                <w:rFonts w:ascii="Times New Roman" w:hAnsi="Times New Roman"/>
                <w:sz w:val="24"/>
              </w:rPr>
              <w:t xml:space="preserve">Andere blootstellingen met betrekking tot particulieren en kleine partijen als bedoeld in artikel 147, lid 2, punt d), iv), van Verordening (EU) nr. 575/2013, juncto artikel 5, lid 8, van Verordening (EU) nr. 575/2013. </w:t>
            </w:r>
          </w:p>
        </w:tc>
      </w:tr>
      <w:tr w:rsidR="009D6580" w:rsidRPr="005C3C78" w14:paraId="6140E6E8" w14:textId="77777777" w:rsidTr="00822842">
        <w:tc>
          <w:tcPr>
            <w:tcW w:w="1188" w:type="dxa"/>
          </w:tcPr>
          <w:p w14:paraId="4DD00789" w14:textId="77777777" w:rsidR="009D6580" w:rsidRPr="005C3C78" w:rsidRDefault="009D6580" w:rsidP="00822842">
            <w:pPr>
              <w:rPr>
                <w:rFonts w:ascii="Times New Roman" w:hAnsi="Times New Roman"/>
                <w:sz w:val="24"/>
              </w:rPr>
            </w:pPr>
            <w:r w:rsidRPr="005C3C78">
              <w:rPr>
                <w:rFonts w:ascii="Times New Roman" w:hAnsi="Times New Roman"/>
                <w:sz w:val="24"/>
              </w:rPr>
              <w:t>0130</w:t>
            </w:r>
          </w:p>
        </w:tc>
        <w:tc>
          <w:tcPr>
            <w:tcW w:w="8640" w:type="dxa"/>
          </w:tcPr>
          <w:p w14:paraId="40BDF108" w14:textId="2B96A314" w:rsidR="009D6580" w:rsidRPr="005C3C78" w:rsidRDefault="00837F98" w:rsidP="00822842">
            <w:pPr>
              <w:rPr>
                <w:rFonts w:ascii="Times New Roman" w:hAnsi="Times New Roman"/>
                <w:b/>
                <w:sz w:val="24"/>
                <w:u w:val="single"/>
              </w:rPr>
            </w:pPr>
            <w:r w:rsidRPr="005C3C78">
              <w:rPr>
                <w:rFonts w:ascii="Times New Roman" w:hAnsi="Times New Roman"/>
                <w:b/>
                <w:sz w:val="24"/>
                <w:u w:val="single"/>
              </w:rPr>
              <w:t>Waarvan: Niet-kmo’s</w:t>
            </w:r>
          </w:p>
          <w:p w14:paraId="51D486B6" w14:textId="251D2008" w:rsidR="009D6580" w:rsidRPr="005C3C78" w:rsidRDefault="00837F98" w:rsidP="00822842">
            <w:pPr>
              <w:rPr>
                <w:rFonts w:ascii="Times New Roman" w:hAnsi="Times New Roman"/>
                <w:sz w:val="24"/>
              </w:rPr>
            </w:pPr>
            <w:r w:rsidRPr="005C3C78">
              <w:rPr>
                <w:rFonts w:ascii="Times New Roman" w:hAnsi="Times New Roman"/>
                <w:sz w:val="24"/>
              </w:rPr>
              <w:t>Andere blootstellingen met betrekking tot particulieren en kleine partijen als bedoeld in artikel 147, lid 2, punt d), iv), van Verordening (EU) nr. 575/2013, niet juncto artikel 5, lid 8, van Verordening (EU) nr. 575/2013.</w:t>
            </w:r>
          </w:p>
        </w:tc>
      </w:tr>
      <w:tr w:rsidR="009D6580" w:rsidRPr="005C3C78" w14:paraId="70A29A85" w14:textId="77777777" w:rsidTr="00822842">
        <w:tc>
          <w:tcPr>
            <w:tcW w:w="1188" w:type="dxa"/>
          </w:tcPr>
          <w:p w14:paraId="5C287489" w14:textId="77777777" w:rsidR="009D6580" w:rsidRPr="005C3C78" w:rsidRDefault="009D6580" w:rsidP="00822842">
            <w:pPr>
              <w:rPr>
                <w:rFonts w:ascii="Times New Roman" w:hAnsi="Times New Roman"/>
                <w:sz w:val="24"/>
              </w:rPr>
            </w:pPr>
            <w:r w:rsidRPr="005C3C78">
              <w:rPr>
                <w:rFonts w:ascii="Times New Roman" w:hAnsi="Times New Roman"/>
                <w:sz w:val="24"/>
              </w:rPr>
              <w:t>0132</w:t>
            </w:r>
          </w:p>
        </w:tc>
        <w:tc>
          <w:tcPr>
            <w:tcW w:w="8640" w:type="dxa"/>
          </w:tcPr>
          <w:p w14:paraId="170B9280" w14:textId="77777777" w:rsidR="009D6580" w:rsidRPr="005C3C78" w:rsidRDefault="009D6580" w:rsidP="00822842">
            <w:pPr>
              <w:rPr>
                <w:rStyle w:val="InstructionsTabelleberschrift"/>
                <w:rFonts w:ascii="Times New Roman" w:hAnsi="Times New Roman"/>
                <w:sz w:val="24"/>
              </w:rPr>
            </w:pPr>
            <w:r w:rsidRPr="005C3C78">
              <w:rPr>
                <w:rStyle w:val="InstructionsTabelleberschrift"/>
                <w:rFonts w:ascii="Times New Roman" w:hAnsi="Times New Roman"/>
                <w:sz w:val="24"/>
              </w:rPr>
              <w:t>Instellingen voor collectieve belegging (icb’s)</w:t>
            </w:r>
          </w:p>
          <w:p w14:paraId="4237C58D" w14:textId="4E266C1C" w:rsidR="009D6580" w:rsidRPr="005C3C78" w:rsidRDefault="009D6580" w:rsidP="00822842">
            <w:pPr>
              <w:rPr>
                <w:rFonts w:ascii="Times New Roman" w:hAnsi="Times New Roman"/>
                <w:b/>
                <w:sz w:val="24"/>
                <w:u w:val="single"/>
              </w:rPr>
            </w:pPr>
            <w:r w:rsidRPr="005C3C78">
              <w:rPr>
                <w:rFonts w:ascii="Times New Roman" w:hAnsi="Times New Roman"/>
                <w:sz w:val="24"/>
              </w:rPr>
              <w:t>Artikel 147, lid 2, punt e bis), van Verordening (EU) nr. 575/2013</w:t>
            </w:r>
          </w:p>
        </w:tc>
      </w:tr>
      <w:tr w:rsidR="009D6580" w:rsidRPr="005C3C78" w14:paraId="72EBDFDD" w14:textId="77777777" w:rsidTr="00822842">
        <w:tc>
          <w:tcPr>
            <w:tcW w:w="1188" w:type="dxa"/>
          </w:tcPr>
          <w:p w14:paraId="290EDA87" w14:textId="77777777" w:rsidR="009D6580" w:rsidRPr="005C3C78" w:rsidRDefault="009D6580" w:rsidP="00822842">
            <w:pPr>
              <w:rPr>
                <w:rFonts w:ascii="Times New Roman" w:hAnsi="Times New Roman"/>
                <w:sz w:val="24"/>
              </w:rPr>
            </w:pPr>
            <w:r w:rsidRPr="005C3C78">
              <w:rPr>
                <w:rFonts w:ascii="Times New Roman" w:hAnsi="Times New Roman"/>
                <w:sz w:val="24"/>
              </w:rPr>
              <w:t>0133</w:t>
            </w:r>
          </w:p>
        </w:tc>
        <w:tc>
          <w:tcPr>
            <w:tcW w:w="8640" w:type="dxa"/>
          </w:tcPr>
          <w:p w14:paraId="39E22A69" w14:textId="77777777" w:rsidR="009D6580" w:rsidRPr="005C3C78" w:rsidRDefault="009D6580" w:rsidP="00822842">
            <w:pPr>
              <w:rPr>
                <w:rStyle w:val="InstructionsTabelleberschrift"/>
                <w:rFonts w:ascii="Times New Roman" w:hAnsi="Times New Roman"/>
                <w:sz w:val="24"/>
              </w:rPr>
            </w:pPr>
            <w:r w:rsidRPr="005C3C78">
              <w:rPr>
                <w:rStyle w:val="InstructionsTabelleberschrift"/>
                <w:rFonts w:ascii="Times New Roman" w:hAnsi="Times New Roman"/>
                <w:sz w:val="24"/>
              </w:rPr>
              <w:t>Doorkijkbenadering</w:t>
            </w:r>
          </w:p>
          <w:p w14:paraId="3481CEEB" w14:textId="77777777" w:rsidR="009D6580" w:rsidRPr="005C3C78" w:rsidRDefault="009D6580" w:rsidP="00822842">
            <w:pPr>
              <w:rPr>
                <w:rFonts w:ascii="Times New Roman" w:hAnsi="Times New Roman"/>
                <w:b/>
                <w:sz w:val="24"/>
                <w:u w:val="single"/>
              </w:rPr>
            </w:pPr>
            <w:r w:rsidRPr="005C3C78">
              <w:rPr>
                <w:rStyle w:val="InstructionsTabelleberschrift"/>
                <w:rFonts w:ascii="Times New Roman" w:hAnsi="Times New Roman"/>
                <w:b w:val="0"/>
                <w:sz w:val="24"/>
                <w:u w:val="none"/>
              </w:rPr>
              <w:t>Hiervoor geldt dezelfde definitie als voor rij 0190 van de CR IRB-template.</w:t>
            </w:r>
          </w:p>
        </w:tc>
      </w:tr>
      <w:tr w:rsidR="009D6580" w:rsidRPr="005C3C78" w14:paraId="6520599F" w14:textId="77777777" w:rsidTr="00822842">
        <w:tc>
          <w:tcPr>
            <w:tcW w:w="1188" w:type="dxa"/>
          </w:tcPr>
          <w:p w14:paraId="5DF820F6" w14:textId="77777777" w:rsidR="009D6580" w:rsidRPr="005C3C78" w:rsidRDefault="009D6580" w:rsidP="00822842">
            <w:pPr>
              <w:rPr>
                <w:rFonts w:ascii="Times New Roman" w:hAnsi="Times New Roman"/>
                <w:sz w:val="24"/>
              </w:rPr>
            </w:pPr>
            <w:r w:rsidRPr="005C3C78">
              <w:rPr>
                <w:rFonts w:ascii="Times New Roman" w:hAnsi="Times New Roman"/>
                <w:sz w:val="24"/>
              </w:rPr>
              <w:t>0134</w:t>
            </w:r>
          </w:p>
        </w:tc>
        <w:tc>
          <w:tcPr>
            <w:tcW w:w="8640" w:type="dxa"/>
          </w:tcPr>
          <w:p w14:paraId="13156AFE" w14:textId="77777777" w:rsidR="009D6580" w:rsidRPr="005C3C78" w:rsidRDefault="009D6580" w:rsidP="00822842">
            <w:pPr>
              <w:rPr>
                <w:rStyle w:val="InstructionsTabelleberschrift"/>
                <w:rFonts w:ascii="Times New Roman" w:hAnsi="Times New Roman"/>
                <w:sz w:val="24"/>
              </w:rPr>
            </w:pPr>
            <w:r w:rsidRPr="005C3C78">
              <w:rPr>
                <w:rStyle w:val="InstructionsTabelleberschrift"/>
                <w:rFonts w:ascii="Times New Roman" w:hAnsi="Times New Roman"/>
                <w:sz w:val="24"/>
              </w:rPr>
              <w:t>Beleidsbenadering</w:t>
            </w:r>
          </w:p>
          <w:p w14:paraId="37B63BC9" w14:textId="77777777" w:rsidR="009D6580" w:rsidRPr="005C3C78" w:rsidRDefault="009D6580" w:rsidP="00822842">
            <w:pPr>
              <w:rPr>
                <w:rFonts w:ascii="Times New Roman" w:hAnsi="Times New Roman"/>
                <w:b/>
                <w:sz w:val="24"/>
                <w:u w:val="single"/>
              </w:rPr>
            </w:pPr>
            <w:r w:rsidRPr="005C3C78">
              <w:rPr>
                <w:rStyle w:val="InstructionsTabelleberschrift"/>
                <w:rFonts w:ascii="Times New Roman" w:hAnsi="Times New Roman"/>
                <w:b w:val="0"/>
                <w:sz w:val="24"/>
                <w:u w:val="none"/>
              </w:rPr>
              <w:t>Hiervoor geldt dezelfde definitie als voor rij 0200 van de CR IRB-template.</w:t>
            </w:r>
          </w:p>
        </w:tc>
      </w:tr>
      <w:tr w:rsidR="009D6580" w:rsidRPr="005C3C78" w14:paraId="57B2C532" w14:textId="77777777" w:rsidTr="00822842">
        <w:tc>
          <w:tcPr>
            <w:tcW w:w="1188" w:type="dxa"/>
          </w:tcPr>
          <w:p w14:paraId="251B0D2B" w14:textId="77777777" w:rsidR="009D6580" w:rsidRPr="005C3C78" w:rsidRDefault="009D6580" w:rsidP="00822842">
            <w:pPr>
              <w:rPr>
                <w:rFonts w:ascii="Times New Roman" w:hAnsi="Times New Roman"/>
                <w:sz w:val="24"/>
              </w:rPr>
            </w:pPr>
            <w:r w:rsidRPr="005C3C78">
              <w:rPr>
                <w:rFonts w:ascii="Times New Roman" w:hAnsi="Times New Roman"/>
                <w:sz w:val="24"/>
              </w:rPr>
              <w:t>0135</w:t>
            </w:r>
          </w:p>
        </w:tc>
        <w:tc>
          <w:tcPr>
            <w:tcW w:w="8640" w:type="dxa"/>
          </w:tcPr>
          <w:p w14:paraId="19D4ED63" w14:textId="77777777" w:rsidR="009D6580" w:rsidRPr="005C3C78" w:rsidRDefault="009D6580" w:rsidP="00822842">
            <w:pPr>
              <w:rPr>
                <w:rStyle w:val="InstructionsTabelleberschrift"/>
                <w:rFonts w:ascii="Times New Roman" w:hAnsi="Times New Roman"/>
                <w:sz w:val="24"/>
              </w:rPr>
            </w:pPr>
            <w:r w:rsidRPr="005C3C78">
              <w:rPr>
                <w:rStyle w:val="InstructionsTabelleberschrift"/>
                <w:rFonts w:ascii="Times New Roman" w:hAnsi="Times New Roman"/>
                <w:sz w:val="24"/>
              </w:rPr>
              <w:t>Fall-backbenadering</w:t>
            </w:r>
          </w:p>
          <w:p w14:paraId="18A39C60" w14:textId="77777777" w:rsidR="009D6580" w:rsidRPr="005C3C78" w:rsidRDefault="009D6580" w:rsidP="00822842">
            <w:pPr>
              <w:rPr>
                <w:rFonts w:ascii="Times New Roman" w:hAnsi="Times New Roman"/>
                <w:b/>
                <w:sz w:val="24"/>
                <w:u w:val="single"/>
              </w:rPr>
            </w:pPr>
            <w:r w:rsidRPr="005C3C78">
              <w:rPr>
                <w:rStyle w:val="InstructionsTabelleberschrift"/>
                <w:rFonts w:ascii="Times New Roman" w:hAnsi="Times New Roman"/>
                <w:b w:val="0"/>
                <w:sz w:val="24"/>
                <w:u w:val="none"/>
              </w:rPr>
              <w:t>Hiervoor geldt dezelfde definitie als voor rij 0210 van de CR IRB-template.</w:t>
            </w:r>
          </w:p>
        </w:tc>
      </w:tr>
      <w:bookmarkEnd w:id="3"/>
      <w:tr w:rsidR="009D6580" w:rsidRPr="005C3C78"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Aandelen</w:t>
            </w:r>
          </w:p>
          <w:p w14:paraId="1A033F11"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“Blootstellingen in aandelen” als bedoeld in artikel 147, lid 2, punt c), van Verordening (EU) nr. 575/2013</w:t>
            </w:r>
          </w:p>
        </w:tc>
      </w:tr>
      <w:tr w:rsidR="009D6580" w:rsidRPr="005C3C78"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5C3C78" w:rsidRDefault="009D6580" w:rsidP="00822842">
            <w:pPr>
              <w:rPr>
                <w:rFonts w:ascii="Times New Roman" w:hAnsi="Times New Roman"/>
                <w:sz w:val="24"/>
              </w:rPr>
            </w:pPr>
            <w:r w:rsidRPr="005C3C78">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5C3C78" w:rsidRDefault="009D6580" w:rsidP="00822842">
            <w:pPr>
              <w:rPr>
                <w:rFonts w:ascii="Times New Roman" w:hAnsi="Times New Roman"/>
                <w:b/>
                <w:sz w:val="24"/>
                <w:u w:val="single"/>
              </w:rPr>
            </w:pPr>
            <w:r w:rsidRPr="005C3C78">
              <w:rPr>
                <w:rFonts w:ascii="Times New Roman" w:hAnsi="Times New Roman"/>
                <w:b/>
                <w:sz w:val="24"/>
                <w:u w:val="single"/>
              </w:rPr>
              <w:t>Totale blootstellingen</w:t>
            </w:r>
          </w:p>
        </w:tc>
      </w:tr>
    </w:tbl>
    <w:p w14:paraId="77289230" w14:textId="77777777" w:rsidR="009D6580" w:rsidRPr="005C3C78" w:rsidRDefault="009D6580" w:rsidP="009D6580">
      <w:pPr>
        <w:spacing w:before="0" w:after="200" w:line="312" w:lineRule="auto"/>
        <w:jc w:val="left"/>
        <w:rPr>
          <w:rFonts w:ascii="Times New Roman" w:hAnsi="Times New Roman"/>
          <w:sz w:val="24"/>
        </w:rPr>
      </w:pPr>
    </w:p>
    <w:p w14:paraId="6A7D32B9" w14:textId="77777777" w:rsidR="009D6580" w:rsidRPr="005C3C78"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sidRPr="005C3C78">
        <w:rPr>
          <w:rFonts w:ascii="Times New Roman" w:hAnsi="Times New Roman" w:cs="Times New Roman"/>
          <w:sz w:val="24"/>
          <w:u w:val="none"/>
        </w:rPr>
        <w:t>3.4.3.</w:t>
      </w:r>
      <w:r w:rsidRPr="005C3C78">
        <w:rPr>
          <w:rFonts w:ascii="Times New Roman" w:hAnsi="Times New Roman" w:cs="Times New Roman"/>
          <w:sz w:val="24"/>
          <w:u w:val="none"/>
        </w:rPr>
        <w:tab/>
      </w:r>
      <w:r w:rsidRPr="005C3C78">
        <w:rPr>
          <w:rFonts w:ascii="Times New Roman" w:hAnsi="Times New Roman" w:cs="Times New Roman"/>
          <w:sz w:val="24"/>
        </w:rPr>
        <w:t>C 09.04 – Uitsplitsing van betrokken kredietblootstellingen ten behoeve van de berekening van de contracyclische buffer per land en het instellingsspecifieke contracyclische bufferpercentage (CCB)</w:t>
      </w:r>
      <w:bookmarkEnd w:id="10"/>
      <w:bookmarkEnd w:id="11"/>
      <w:bookmarkEnd w:id="12"/>
    </w:p>
    <w:p w14:paraId="600FC3A3" w14:textId="77777777" w:rsidR="009D6580" w:rsidRPr="005C3C78"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sidRPr="005C3C78">
        <w:rPr>
          <w:rFonts w:ascii="Times New Roman" w:hAnsi="Times New Roman" w:cs="Times New Roman"/>
          <w:sz w:val="24"/>
          <w:u w:val="none"/>
        </w:rPr>
        <w:t>3.4.3.1.</w:t>
      </w:r>
      <w:r w:rsidRPr="005C3C78">
        <w:rPr>
          <w:rFonts w:ascii="Times New Roman" w:hAnsi="Times New Roman" w:cs="Times New Roman"/>
          <w:sz w:val="24"/>
          <w:u w:val="none"/>
        </w:rPr>
        <w:tab/>
      </w:r>
      <w:r w:rsidRPr="005C3C78">
        <w:rPr>
          <w:rFonts w:ascii="Times New Roman" w:hAnsi="Times New Roman" w:cs="Times New Roman"/>
          <w:sz w:val="24"/>
        </w:rPr>
        <w:t>Algemene opmerkingen</w:t>
      </w:r>
      <w:bookmarkEnd w:id="13"/>
      <w:bookmarkEnd w:id="14"/>
      <w:bookmarkEnd w:id="15"/>
    </w:p>
    <w:p w14:paraId="57D13BA6" w14:textId="77777777" w:rsidR="009D6580" w:rsidRPr="005C3C78" w:rsidRDefault="009D6580" w:rsidP="009D6580">
      <w:pPr>
        <w:pStyle w:val="InstructionsText2"/>
        <w:numPr>
          <w:ilvl w:val="0"/>
          <w:numId w:val="0"/>
        </w:numPr>
        <w:ind w:left="993"/>
      </w:pPr>
      <w:r w:rsidRPr="005C3C78">
        <w:fldChar w:fldCharType="begin"/>
      </w:r>
      <w:r w:rsidRPr="005C3C78">
        <w:instrText>seq paragraphs</w:instrText>
      </w:r>
      <w:r w:rsidRPr="005C3C78">
        <w:fldChar w:fldCharType="separate"/>
      </w:r>
      <w:r w:rsidRPr="005C3C78">
        <w:t>88</w:t>
      </w:r>
      <w:r w:rsidRPr="005C3C78">
        <w:fldChar w:fldCharType="end"/>
      </w:r>
      <w:r w:rsidRPr="005C3C78">
        <w:t>.</w:t>
      </w:r>
      <w:r w:rsidRPr="005C3C78">
        <w:tab/>
        <w:t xml:space="preserve">Deze template dient om meer informatie te ontvangen over de elementen van de instellingsspecifieke contracyclische kapitaalbuffer. De gevraagde informatie heeft betrekking op de overeenkomstig deel drie, titel II en titel IV, van Verordening (EU) nr. 575/2013 bepaalde eigenvermogensvereisten en de geografische locatie voor kredietblootstellingen, securitisatieblootstellingen en handelsportefeuilleblootstellingen die relevant zijn voor de berekening van de instellingsspecifieke contracyclische kapitaalbuffer (CCB) overeenkomstig artikel 140 van Richtlijn 2013/36/EU (relevante kredietblootstellingen). </w:t>
      </w:r>
    </w:p>
    <w:p w14:paraId="10EA3DAD" w14:textId="77777777" w:rsidR="009D6580" w:rsidRPr="005C3C78" w:rsidRDefault="009D6580" w:rsidP="009D6580">
      <w:pPr>
        <w:pStyle w:val="InstructionsText2"/>
        <w:numPr>
          <w:ilvl w:val="0"/>
          <w:numId w:val="0"/>
        </w:numPr>
        <w:ind w:left="993"/>
      </w:pPr>
      <w:r w:rsidRPr="005C3C78">
        <w:fldChar w:fldCharType="begin"/>
      </w:r>
      <w:r w:rsidRPr="005C3C78">
        <w:instrText>seq paragraphs</w:instrText>
      </w:r>
      <w:r w:rsidRPr="005C3C78">
        <w:fldChar w:fldCharType="separate"/>
      </w:r>
      <w:r w:rsidRPr="005C3C78">
        <w:t>89</w:t>
      </w:r>
      <w:r w:rsidRPr="005C3C78">
        <w:fldChar w:fldCharType="end"/>
      </w:r>
      <w:r w:rsidRPr="005C3C78">
        <w:t>.</w:t>
      </w:r>
      <w:r w:rsidRPr="005C3C78">
        <w:tab/>
        <w:t xml:space="preserve">De informatie in template C 09.04 wordt gerapporteerd voor het “Totaal” van de relevante kredietblootstellingen in alle rechtsgebieden waar die blootstellingen zijn gesitueerd, en afzonderlijk voor elk van de rechtsgebieden waar de desbetreffende kredietblootstellingen zijn gesitueerd. De totaalcijfers en de informatie voor elk afzonderlijk rechtsgebied worden in een aparte dimensie gerapporteerd. </w:t>
      </w:r>
    </w:p>
    <w:p w14:paraId="054CDEAF" w14:textId="77777777" w:rsidR="009D6580" w:rsidRPr="005C3C78" w:rsidRDefault="009D6580" w:rsidP="009D6580">
      <w:pPr>
        <w:pStyle w:val="InstructionsText2"/>
        <w:numPr>
          <w:ilvl w:val="0"/>
          <w:numId w:val="0"/>
        </w:numPr>
        <w:ind w:left="993"/>
      </w:pPr>
      <w:r w:rsidRPr="005C3C78">
        <w:fldChar w:fldCharType="begin"/>
      </w:r>
      <w:r w:rsidRPr="005C3C78">
        <w:instrText>seq paragraphs</w:instrText>
      </w:r>
      <w:r w:rsidRPr="005C3C78">
        <w:fldChar w:fldCharType="separate"/>
      </w:r>
      <w:r w:rsidRPr="005C3C78">
        <w:t>90</w:t>
      </w:r>
      <w:r w:rsidRPr="005C3C78">
        <w:fldChar w:fldCharType="end"/>
      </w:r>
      <w:r w:rsidRPr="005C3C78">
        <w:t>.</w:t>
      </w:r>
      <w:r w:rsidRPr="005C3C78">
        <w:tab/>
        <w:t>De in artikel 5, lid 5, van deze uitvoeringsverordening vastgestelde drempel is niet van toepassing voor de rapportage van deze uitsplitsing.</w:t>
      </w:r>
    </w:p>
    <w:bookmarkStart w:id="16" w:name="_Hlk151650982"/>
    <w:p w14:paraId="710781F7" w14:textId="77777777" w:rsidR="009D6580" w:rsidRPr="005C3C78" w:rsidRDefault="009D6580" w:rsidP="009D6580">
      <w:pPr>
        <w:pStyle w:val="InstructionsText2"/>
        <w:numPr>
          <w:ilvl w:val="0"/>
          <w:numId w:val="0"/>
        </w:numPr>
        <w:ind w:left="993"/>
      </w:pPr>
      <w:r w:rsidRPr="005C3C78">
        <w:fldChar w:fldCharType="begin"/>
      </w:r>
      <w:r w:rsidRPr="005C3C78">
        <w:instrText>seq paragraphs</w:instrText>
      </w:r>
      <w:r w:rsidRPr="005C3C78">
        <w:fldChar w:fldCharType="separate"/>
      </w:r>
      <w:r w:rsidRPr="005C3C78">
        <w:t>91</w:t>
      </w:r>
      <w:r w:rsidRPr="005C3C78">
        <w:fldChar w:fldCharType="end"/>
      </w:r>
      <w:r w:rsidRPr="005C3C78">
        <w:t>.</w:t>
      </w:r>
      <w:r w:rsidRPr="005C3C78">
        <w:tab/>
        <w:t>Om de geografische locatie te bepalen, worden de blootstellingen toegewezen op basis van een directe debiteur, zoals bepaald in Gedelegeerde Verordening (EU) nr. 1152/2014 van de Commissie</w:t>
      </w:r>
      <w:r w:rsidRPr="005C3C78">
        <w:footnoteReference w:id="1"/>
      </w:r>
      <w:r w:rsidRPr="005C3C78">
        <w:t>. Bij de rapportage van in deze template beschreven informatie wijzigen kredietrisicolimiteringstechnieken daarom de toewijzing van een blootstelling aan de geografische locatie niet.</w:t>
      </w:r>
    </w:p>
    <w:p w14:paraId="4811C8E1" w14:textId="77777777" w:rsidR="009D6580" w:rsidRPr="005C3C78"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sidRPr="005C3C78">
        <w:rPr>
          <w:rFonts w:ascii="Times New Roman" w:hAnsi="Times New Roman" w:cs="Times New Roman"/>
          <w:sz w:val="24"/>
          <w:u w:val="none"/>
        </w:rPr>
        <w:t>3.4.3.2.</w:t>
      </w:r>
      <w:r w:rsidRPr="005C3C78">
        <w:rPr>
          <w:rFonts w:ascii="Times New Roman" w:hAnsi="Times New Roman" w:cs="Times New Roman"/>
          <w:sz w:val="24"/>
          <w:u w:val="none"/>
        </w:rPr>
        <w:tab/>
      </w:r>
      <w:r w:rsidRPr="005C3C78">
        <w:rPr>
          <w:rFonts w:ascii="Times New Roman" w:hAnsi="Times New Roman" w:cs="Times New Roman"/>
          <w:sz w:val="24"/>
        </w:rPr>
        <w:t>Instructies voor specifieke posities</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5C3C78" w14:paraId="091A9B1D" w14:textId="77777777" w:rsidTr="00822842">
        <w:tc>
          <w:tcPr>
            <w:tcW w:w="1697" w:type="dxa"/>
            <w:shd w:val="clear" w:color="auto" w:fill="CCCCCC"/>
          </w:tcPr>
          <w:p w14:paraId="6D544C28" w14:textId="77777777" w:rsidR="009D6580" w:rsidRPr="005C3C78" w:rsidRDefault="009D6580" w:rsidP="00822842">
            <w:pPr>
              <w:rPr>
                <w:rFonts w:ascii="Times New Roman" w:hAnsi="Times New Roman"/>
                <w:b/>
                <w:sz w:val="24"/>
              </w:rPr>
            </w:pPr>
            <w:r w:rsidRPr="005C3C78">
              <w:rPr>
                <w:rFonts w:ascii="Times New Roman" w:hAnsi="Times New Roman"/>
                <w:b/>
                <w:sz w:val="24"/>
              </w:rPr>
              <w:t>Kolommen</w:t>
            </w:r>
          </w:p>
        </w:tc>
        <w:tc>
          <w:tcPr>
            <w:tcW w:w="8131" w:type="dxa"/>
            <w:shd w:val="clear" w:color="auto" w:fill="CCCCCC"/>
          </w:tcPr>
          <w:p w14:paraId="55FA945D" w14:textId="77777777" w:rsidR="009D6580" w:rsidRPr="005C3C78" w:rsidRDefault="009D6580" w:rsidP="00822842">
            <w:pPr>
              <w:ind w:left="72"/>
              <w:rPr>
                <w:rFonts w:ascii="Times New Roman" w:hAnsi="Times New Roman"/>
                <w:sz w:val="24"/>
              </w:rPr>
            </w:pPr>
          </w:p>
        </w:tc>
      </w:tr>
      <w:tr w:rsidR="009D6580" w:rsidRPr="005C3C78" w14:paraId="6B14BCBD" w14:textId="77777777" w:rsidTr="00822842">
        <w:tc>
          <w:tcPr>
            <w:tcW w:w="1697" w:type="dxa"/>
          </w:tcPr>
          <w:p w14:paraId="5CBD6D84" w14:textId="77777777" w:rsidR="009D6580" w:rsidRPr="005C3C78" w:rsidRDefault="009D6580" w:rsidP="00822842">
            <w:pPr>
              <w:rPr>
                <w:rStyle w:val="InstructionsTabelleText"/>
                <w:rFonts w:ascii="Times New Roman" w:hAnsi="Times New Roman"/>
                <w:sz w:val="24"/>
              </w:rPr>
            </w:pPr>
            <w:r w:rsidRPr="005C3C78">
              <w:rPr>
                <w:rFonts w:ascii="Times New Roman" w:hAnsi="Times New Roman"/>
                <w:sz w:val="24"/>
              </w:rPr>
              <w:t>0010</w:t>
            </w:r>
          </w:p>
        </w:tc>
        <w:tc>
          <w:tcPr>
            <w:tcW w:w="8131" w:type="dxa"/>
          </w:tcPr>
          <w:p w14:paraId="6A1F53D1"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Bedrag</w:t>
            </w:r>
          </w:p>
          <w:p w14:paraId="4EDF6439"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lastRenderedPageBreak/>
              <w:t>De waarde van de relevante kredietblootstellingen en de daarmee verband houdende eigenvermogensvereisten zoals bepaald overeenkomstig de instructies voor de betrokken rij.</w:t>
            </w:r>
          </w:p>
        </w:tc>
      </w:tr>
      <w:tr w:rsidR="009D6580" w:rsidRPr="005C3C78" w14:paraId="29BB3D71" w14:textId="77777777" w:rsidTr="00822842">
        <w:tc>
          <w:tcPr>
            <w:tcW w:w="1697" w:type="dxa"/>
          </w:tcPr>
          <w:p w14:paraId="15999D4B"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0020</w:t>
            </w:r>
          </w:p>
        </w:tc>
        <w:tc>
          <w:tcPr>
            <w:tcW w:w="8131" w:type="dxa"/>
          </w:tcPr>
          <w:p w14:paraId="4133F8D3"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Percentage</w:t>
            </w:r>
          </w:p>
          <w:p w14:paraId="01DD816F" w14:textId="77777777" w:rsidR="009D6580" w:rsidRPr="005C3C78" w:rsidRDefault="009D6580" w:rsidP="00822842">
            <w:pPr>
              <w:rPr>
                <w:rFonts w:ascii="Times New Roman" w:hAnsi="Times New Roman"/>
                <w:b/>
                <w:bCs/>
                <w:sz w:val="24"/>
                <w:u w:val="single"/>
                <w:lang w:eastAsia="de-DE"/>
              </w:rPr>
            </w:pPr>
          </w:p>
        </w:tc>
      </w:tr>
      <w:tr w:rsidR="009D6580" w:rsidRPr="005C3C78" w14:paraId="2A8BD3C1" w14:textId="77777777" w:rsidTr="00822842">
        <w:tc>
          <w:tcPr>
            <w:tcW w:w="1697" w:type="dxa"/>
          </w:tcPr>
          <w:p w14:paraId="0F30E1C9" w14:textId="77777777" w:rsidR="009D6580" w:rsidRPr="005C3C78" w:rsidRDefault="009D6580" w:rsidP="00822842">
            <w:pPr>
              <w:rPr>
                <w:rFonts w:ascii="Times New Roman" w:hAnsi="Times New Roman"/>
                <w:sz w:val="24"/>
              </w:rPr>
            </w:pPr>
            <w:r w:rsidRPr="005C3C78">
              <w:rPr>
                <w:rFonts w:ascii="Times New Roman" w:hAnsi="Times New Roman"/>
                <w:sz w:val="24"/>
              </w:rPr>
              <w:t>0030</w:t>
            </w:r>
          </w:p>
        </w:tc>
        <w:tc>
          <w:tcPr>
            <w:tcW w:w="8131" w:type="dxa"/>
          </w:tcPr>
          <w:p w14:paraId="61529C4E" w14:textId="77777777" w:rsidR="009D6580" w:rsidRPr="005C3C78" w:rsidRDefault="009D6580" w:rsidP="00822842">
            <w:pPr>
              <w:autoSpaceDE w:val="0"/>
              <w:autoSpaceDN w:val="0"/>
              <w:adjustRightInd w:val="0"/>
              <w:rPr>
                <w:rFonts w:ascii="Times New Roman" w:hAnsi="Times New Roman"/>
                <w:b/>
                <w:bCs/>
                <w:sz w:val="24"/>
                <w:u w:val="single"/>
              </w:rPr>
            </w:pPr>
            <w:r w:rsidRPr="005C3C78">
              <w:rPr>
                <w:rFonts w:ascii="Times New Roman" w:hAnsi="Times New Roman"/>
                <w:b/>
                <w:sz w:val="24"/>
                <w:u w:val="single"/>
              </w:rPr>
              <w:t>Kwalitatieve informatie</w:t>
            </w:r>
          </w:p>
          <w:p w14:paraId="394356B2"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 xml:space="preserve">Deze informatie wordt alleen gerapporteerd voor het land van vestiging van de instelling (het rechtsgebied dat overeenkomt met haar lidstaat van herkomst) en het “Totaal” van alle landen. </w:t>
            </w:r>
          </w:p>
          <w:p w14:paraId="6761B5E4" w14:textId="77777777" w:rsidR="009D6580" w:rsidRPr="005C3C78" w:rsidRDefault="009D6580" w:rsidP="00822842">
            <w:pPr>
              <w:autoSpaceDE w:val="0"/>
              <w:autoSpaceDN w:val="0"/>
              <w:adjustRightInd w:val="0"/>
              <w:rPr>
                <w:rFonts w:ascii="Times New Roman" w:hAnsi="Times New Roman"/>
                <w:b/>
                <w:bCs/>
                <w:sz w:val="24"/>
                <w:u w:val="single"/>
              </w:rPr>
            </w:pPr>
            <w:r w:rsidRPr="005C3C78">
              <w:rPr>
                <w:rFonts w:ascii="Times New Roman" w:hAnsi="Times New Roman"/>
                <w:sz w:val="24"/>
              </w:rPr>
              <w:t>De instellingen rapporteren {y} of {n}, overeenkomstig de instructies voor de betrokken rij.</w:t>
            </w:r>
          </w:p>
        </w:tc>
      </w:tr>
    </w:tbl>
    <w:p w14:paraId="51476A7B" w14:textId="77777777" w:rsidR="009D6580" w:rsidRPr="005C3C78"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5C3C78" w14:paraId="09F6A5AE" w14:textId="77777777" w:rsidTr="00822842">
        <w:tc>
          <w:tcPr>
            <w:tcW w:w="1697" w:type="dxa"/>
            <w:shd w:val="clear" w:color="auto" w:fill="CCCCCC"/>
          </w:tcPr>
          <w:p w14:paraId="3BCCC295" w14:textId="77777777" w:rsidR="009D6580" w:rsidRPr="005C3C78" w:rsidRDefault="009D6580" w:rsidP="00822842">
            <w:pPr>
              <w:rPr>
                <w:rFonts w:ascii="Times New Roman" w:hAnsi="Times New Roman"/>
                <w:b/>
                <w:sz w:val="24"/>
              </w:rPr>
            </w:pPr>
            <w:r w:rsidRPr="005C3C78">
              <w:rPr>
                <w:rFonts w:ascii="Times New Roman" w:hAnsi="Times New Roman"/>
                <w:b/>
                <w:sz w:val="24"/>
              </w:rPr>
              <w:t>Rijen</w:t>
            </w:r>
          </w:p>
        </w:tc>
        <w:tc>
          <w:tcPr>
            <w:tcW w:w="8131" w:type="dxa"/>
            <w:shd w:val="clear" w:color="auto" w:fill="CCCCCC"/>
          </w:tcPr>
          <w:p w14:paraId="39519610" w14:textId="77777777" w:rsidR="009D6580" w:rsidRPr="005C3C78" w:rsidRDefault="009D6580" w:rsidP="00822842">
            <w:pPr>
              <w:ind w:left="72"/>
              <w:rPr>
                <w:rFonts w:ascii="Times New Roman" w:hAnsi="Times New Roman"/>
                <w:sz w:val="24"/>
              </w:rPr>
            </w:pPr>
          </w:p>
        </w:tc>
      </w:tr>
      <w:tr w:rsidR="009D6580" w:rsidRPr="005C3C78" w14:paraId="70661EF5" w14:textId="77777777" w:rsidTr="00822842">
        <w:tc>
          <w:tcPr>
            <w:tcW w:w="1697" w:type="dxa"/>
          </w:tcPr>
          <w:p w14:paraId="563EAAB9" w14:textId="77777777" w:rsidR="009D6580" w:rsidRPr="005C3C78" w:rsidRDefault="009D6580" w:rsidP="00822842">
            <w:pPr>
              <w:rPr>
                <w:rStyle w:val="InstructionsTabelleText"/>
                <w:rFonts w:ascii="Times New Roman" w:hAnsi="Times New Roman"/>
                <w:sz w:val="24"/>
              </w:rPr>
            </w:pPr>
            <w:r w:rsidRPr="005C3C78">
              <w:rPr>
                <w:rFonts w:ascii="Times New Roman" w:hAnsi="Times New Roman"/>
                <w:sz w:val="24"/>
              </w:rPr>
              <w:t>0010-0020</w:t>
            </w:r>
          </w:p>
        </w:tc>
        <w:tc>
          <w:tcPr>
            <w:tcW w:w="8131" w:type="dxa"/>
          </w:tcPr>
          <w:p w14:paraId="3D2862FC"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Relevante kredietblootstellingen – Kredietrisico</w:t>
            </w:r>
          </w:p>
          <w:p w14:paraId="516A26FA" w14:textId="77777777" w:rsidR="009D6580" w:rsidRPr="005C3C78" w:rsidRDefault="009D6580" w:rsidP="00822842">
            <w:pPr>
              <w:rPr>
                <w:rFonts w:ascii="Times New Roman" w:hAnsi="Times New Roman"/>
                <w:b/>
                <w:sz w:val="24"/>
                <w:u w:val="single"/>
              </w:rPr>
            </w:pPr>
            <w:r w:rsidRPr="005C3C78">
              <w:rPr>
                <w:rFonts w:ascii="Times New Roman" w:hAnsi="Times New Roman"/>
                <w:sz w:val="24"/>
              </w:rPr>
              <w:t>De relevante kredietblootstellingen als bedoeld in artikel 140, lid 4, punt a), van Richtlijn 2013/36/EU.</w:t>
            </w:r>
          </w:p>
        </w:tc>
      </w:tr>
      <w:tr w:rsidR="009D6580" w:rsidRPr="005C3C78" w14:paraId="527A1F7E" w14:textId="77777777" w:rsidTr="00822842">
        <w:tc>
          <w:tcPr>
            <w:tcW w:w="1697" w:type="dxa"/>
          </w:tcPr>
          <w:p w14:paraId="18BE8A8D" w14:textId="77777777" w:rsidR="009D6580" w:rsidRPr="005C3C78" w:rsidRDefault="009D6580" w:rsidP="00822842">
            <w:pPr>
              <w:rPr>
                <w:rFonts w:ascii="Times New Roman" w:hAnsi="Times New Roman"/>
                <w:sz w:val="24"/>
              </w:rPr>
            </w:pPr>
            <w:r w:rsidRPr="005C3C78">
              <w:rPr>
                <w:rFonts w:ascii="Times New Roman" w:hAnsi="Times New Roman"/>
                <w:sz w:val="24"/>
              </w:rPr>
              <w:t>0010</w:t>
            </w:r>
          </w:p>
        </w:tc>
        <w:tc>
          <w:tcPr>
            <w:tcW w:w="8131" w:type="dxa"/>
          </w:tcPr>
          <w:p w14:paraId="60D60C47"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Blootstellingswaarde volgens de standaardbenadering</w:t>
            </w:r>
          </w:p>
          <w:p w14:paraId="0EA1DD75"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 xml:space="preserve">De overeenkomstig artikel 111 van Verordening (EU) nr. 575/2013 berekende blootstellingswaarde voor de in artikel 140, lid 4, punt a), van Richtlijn 2013/36/EU bedoelde relevante kredietblootstellingen. </w:t>
            </w:r>
          </w:p>
          <w:p w14:paraId="72B986ED" w14:textId="77777777" w:rsidR="009D6580" w:rsidRPr="005C3C78" w:rsidRDefault="009D6580" w:rsidP="00822842">
            <w:pPr>
              <w:autoSpaceDE w:val="0"/>
              <w:autoSpaceDN w:val="0"/>
              <w:adjustRightInd w:val="0"/>
              <w:rPr>
                <w:rFonts w:ascii="Times New Roman" w:hAnsi="Times New Roman"/>
                <w:b/>
                <w:bCs/>
                <w:sz w:val="24"/>
                <w:u w:val="single"/>
              </w:rPr>
            </w:pPr>
            <w:r w:rsidRPr="005C3C78">
              <w:rPr>
                <w:rFonts w:ascii="Times New Roman" w:hAnsi="Times New Roman"/>
                <w:sz w:val="24"/>
              </w:rPr>
              <w:t>De blootstellingswaarde van securitisatieposities in de niet-handelsportefeuille wordt van deze rij uitgesloten en wordt in rij 0055 gerapporteerd.</w:t>
            </w:r>
          </w:p>
        </w:tc>
      </w:tr>
      <w:tr w:rsidR="009D6580" w:rsidRPr="005C3C78" w14:paraId="367F78C6" w14:textId="77777777" w:rsidTr="00822842">
        <w:tc>
          <w:tcPr>
            <w:tcW w:w="1697" w:type="dxa"/>
          </w:tcPr>
          <w:p w14:paraId="3217061B" w14:textId="77777777" w:rsidR="009D6580" w:rsidRPr="005C3C78" w:rsidRDefault="009D6580" w:rsidP="00822842">
            <w:pPr>
              <w:rPr>
                <w:rFonts w:ascii="Times New Roman" w:hAnsi="Times New Roman"/>
                <w:sz w:val="24"/>
              </w:rPr>
            </w:pPr>
            <w:r w:rsidRPr="005C3C78">
              <w:rPr>
                <w:rFonts w:ascii="Times New Roman" w:hAnsi="Times New Roman"/>
                <w:sz w:val="24"/>
              </w:rPr>
              <w:t>0020</w:t>
            </w:r>
          </w:p>
        </w:tc>
        <w:tc>
          <w:tcPr>
            <w:tcW w:w="8131" w:type="dxa"/>
          </w:tcPr>
          <w:p w14:paraId="385211C6"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Blootstellingswaarde volgens de interneratingbenadering</w:t>
            </w:r>
          </w:p>
          <w:p w14:paraId="3F80BC36"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 xml:space="preserve">De overeenkomstig artikel 166 van Verordening (EU) nr. 575/2013 berekende blootstellingswaarde voor de in artikel 140, lid 4, punt a), van Richtlijn 2013/36/EU bedoelde relevante kredietblootstellingen. </w:t>
            </w:r>
          </w:p>
          <w:p w14:paraId="48C130F1"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De blootstellingswaarde van securitisatieposities in de niet-handelsportefeuille wordt van deze rij uitgesloten en wordt in rij 0055 gerapporteerd.</w:t>
            </w:r>
          </w:p>
        </w:tc>
      </w:tr>
      <w:tr w:rsidR="009D6580" w:rsidRPr="005C3C78" w14:paraId="613420F2" w14:textId="77777777" w:rsidTr="00822842">
        <w:tc>
          <w:tcPr>
            <w:tcW w:w="1697" w:type="dxa"/>
          </w:tcPr>
          <w:p w14:paraId="53491AFF" w14:textId="77777777" w:rsidR="009D6580" w:rsidRPr="005C3C78" w:rsidRDefault="009D6580" w:rsidP="00822842">
            <w:pPr>
              <w:rPr>
                <w:rFonts w:ascii="Times New Roman" w:hAnsi="Times New Roman"/>
                <w:sz w:val="24"/>
              </w:rPr>
            </w:pPr>
            <w:r w:rsidRPr="005C3C78">
              <w:rPr>
                <w:rFonts w:ascii="Times New Roman" w:hAnsi="Times New Roman"/>
                <w:sz w:val="24"/>
              </w:rPr>
              <w:t>0030-0040</w:t>
            </w:r>
          </w:p>
        </w:tc>
        <w:tc>
          <w:tcPr>
            <w:tcW w:w="8131" w:type="dxa"/>
          </w:tcPr>
          <w:p w14:paraId="369D8506"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Relevante kredietblootstellingen – Marktrisico</w:t>
            </w:r>
          </w:p>
          <w:p w14:paraId="54050F98"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De relevante kredietblootstellingen als bedoeld in artikel 140, lid 4, punt b), van Richtlijn 2013/36/EU.</w:t>
            </w:r>
          </w:p>
        </w:tc>
      </w:tr>
      <w:tr w:rsidR="009D6580" w:rsidRPr="005C3C78" w14:paraId="670769C5" w14:textId="77777777" w:rsidTr="00822842">
        <w:tc>
          <w:tcPr>
            <w:tcW w:w="1697" w:type="dxa"/>
          </w:tcPr>
          <w:p w14:paraId="27E0BEE1" w14:textId="77777777" w:rsidR="009D6580" w:rsidRPr="005C3C78" w:rsidRDefault="009D6580" w:rsidP="00822842">
            <w:pPr>
              <w:rPr>
                <w:rFonts w:ascii="Times New Roman" w:hAnsi="Times New Roman"/>
                <w:sz w:val="24"/>
              </w:rPr>
            </w:pPr>
            <w:r w:rsidRPr="005C3C78">
              <w:rPr>
                <w:rFonts w:ascii="Times New Roman" w:hAnsi="Times New Roman"/>
                <w:sz w:val="24"/>
              </w:rPr>
              <w:t>0030</w:t>
            </w:r>
          </w:p>
        </w:tc>
        <w:tc>
          <w:tcPr>
            <w:tcW w:w="8131" w:type="dxa"/>
          </w:tcPr>
          <w:p w14:paraId="740784D8"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Som van long- en shortposities van blootstellingen in de handelsportefeuille voor de standaardbenadering</w:t>
            </w:r>
          </w:p>
          <w:p w14:paraId="5F803AC4"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 xml:space="preserve">De som van de nettolong- en nettoshortposities overeenkomstig artikel 327 van Verordening (EU) nr. 575/2013 van relevante kredietblootstellingen als bedoeld in artikel 140, lid 4, punt b), van Richtlijn 2013/36/EU waarvoor eigenvermogensvereisten van deel drie, titel IV, hoofdstuk 2, van Verordening (EU) nr. 575/2013 gelden: </w:t>
            </w:r>
          </w:p>
          <w:p w14:paraId="555B6B69" w14:textId="77777777" w:rsidR="009D6580" w:rsidRPr="005C3C78" w:rsidRDefault="009D6580" w:rsidP="00822842">
            <w:pPr>
              <w:autoSpaceDE w:val="0"/>
              <w:autoSpaceDN w:val="0"/>
              <w:adjustRightInd w:val="0"/>
              <w:ind w:left="357" w:hanging="357"/>
              <w:contextualSpacing/>
              <w:rPr>
                <w:rFonts w:ascii="Times New Roman" w:hAnsi="Times New Roman"/>
                <w:sz w:val="24"/>
              </w:rPr>
            </w:pPr>
            <w:r w:rsidRPr="005C3C78">
              <w:rPr>
                <w:rFonts w:ascii="Times New Roman" w:hAnsi="Times New Roman"/>
                <w:sz w:val="24"/>
              </w:rPr>
              <w:lastRenderedPageBreak/>
              <w:t>-</w:t>
            </w:r>
            <w:r w:rsidRPr="005C3C78">
              <w:rPr>
                <w:rFonts w:ascii="Times New Roman" w:hAnsi="Times New Roman"/>
                <w:sz w:val="24"/>
              </w:rPr>
              <w:tab/>
              <w:t>blootstellingen met betrekking tot niet-gesecuritiseerde schuldinstrumenten;</w:t>
            </w:r>
          </w:p>
          <w:p w14:paraId="2F347ECD" w14:textId="77777777" w:rsidR="009D6580" w:rsidRPr="005C3C78" w:rsidRDefault="009D6580" w:rsidP="00822842">
            <w:pPr>
              <w:autoSpaceDE w:val="0"/>
              <w:autoSpaceDN w:val="0"/>
              <w:adjustRightInd w:val="0"/>
              <w:ind w:left="357" w:hanging="357"/>
              <w:contextualSpacing/>
              <w:rPr>
                <w:rFonts w:ascii="Times New Roman" w:hAnsi="Times New Roman"/>
                <w:sz w:val="24"/>
              </w:rPr>
            </w:pPr>
            <w:r w:rsidRPr="005C3C78">
              <w:rPr>
                <w:rFonts w:ascii="Times New Roman" w:hAnsi="Times New Roman"/>
                <w:sz w:val="24"/>
              </w:rPr>
              <w:t>-</w:t>
            </w:r>
            <w:r w:rsidRPr="005C3C78">
              <w:rPr>
                <w:rFonts w:ascii="Times New Roman" w:hAnsi="Times New Roman"/>
                <w:sz w:val="24"/>
              </w:rPr>
              <w:tab/>
              <w:t>blootstellingen met betrekking tot securitisatieposities in de handelsportefeuille;</w:t>
            </w:r>
          </w:p>
          <w:p w14:paraId="0BF14848" w14:textId="77777777" w:rsidR="009D6580" w:rsidRPr="005C3C78" w:rsidRDefault="009D6580" w:rsidP="00822842">
            <w:pPr>
              <w:autoSpaceDE w:val="0"/>
              <w:autoSpaceDN w:val="0"/>
              <w:adjustRightInd w:val="0"/>
              <w:ind w:left="357" w:hanging="357"/>
              <w:contextualSpacing/>
              <w:rPr>
                <w:rFonts w:ascii="Times New Roman" w:hAnsi="Times New Roman"/>
                <w:sz w:val="24"/>
              </w:rPr>
            </w:pPr>
            <w:r w:rsidRPr="005C3C78">
              <w:rPr>
                <w:rFonts w:ascii="Times New Roman" w:hAnsi="Times New Roman"/>
                <w:sz w:val="24"/>
              </w:rPr>
              <w:t>-</w:t>
            </w:r>
            <w:r w:rsidRPr="005C3C78">
              <w:rPr>
                <w:rFonts w:ascii="Times New Roman" w:hAnsi="Times New Roman"/>
                <w:sz w:val="24"/>
              </w:rPr>
              <w:tab/>
              <w:t>blootstellingen met betrekking tot correlatiehandelsportefeuilles;</w:t>
            </w:r>
          </w:p>
          <w:p w14:paraId="426EA269" w14:textId="77777777" w:rsidR="009D6580" w:rsidRPr="005C3C78" w:rsidRDefault="009D6580" w:rsidP="00822842">
            <w:pPr>
              <w:autoSpaceDE w:val="0"/>
              <w:autoSpaceDN w:val="0"/>
              <w:adjustRightInd w:val="0"/>
              <w:ind w:left="357" w:hanging="357"/>
              <w:contextualSpacing/>
              <w:rPr>
                <w:rFonts w:ascii="Times New Roman" w:hAnsi="Times New Roman"/>
                <w:sz w:val="24"/>
              </w:rPr>
            </w:pPr>
            <w:r w:rsidRPr="005C3C78">
              <w:rPr>
                <w:rFonts w:ascii="Times New Roman" w:hAnsi="Times New Roman"/>
                <w:sz w:val="24"/>
              </w:rPr>
              <w:t>-</w:t>
            </w:r>
            <w:r w:rsidRPr="005C3C78">
              <w:rPr>
                <w:rFonts w:ascii="Times New Roman" w:hAnsi="Times New Roman"/>
                <w:sz w:val="24"/>
              </w:rPr>
              <w:tab/>
              <w:t>blootstellingen met betrekking tot effecten met aandelenkarakter, en</w:t>
            </w:r>
          </w:p>
          <w:p w14:paraId="29596F16" w14:textId="77777777" w:rsidR="009D6580" w:rsidRPr="005C3C78" w:rsidRDefault="009D6580" w:rsidP="00822842">
            <w:pPr>
              <w:autoSpaceDE w:val="0"/>
              <w:autoSpaceDN w:val="0"/>
              <w:adjustRightInd w:val="0"/>
              <w:ind w:left="357" w:hanging="357"/>
              <w:contextualSpacing/>
              <w:rPr>
                <w:rFonts w:ascii="Times New Roman" w:hAnsi="Times New Roman"/>
                <w:b/>
                <w:bCs/>
                <w:sz w:val="24"/>
                <w:u w:val="single"/>
              </w:rPr>
            </w:pPr>
            <w:r w:rsidRPr="005C3C78">
              <w:rPr>
                <w:rFonts w:ascii="Times New Roman" w:hAnsi="Times New Roman"/>
                <w:sz w:val="24"/>
              </w:rPr>
              <w:t>-</w:t>
            </w:r>
            <w:r w:rsidRPr="005C3C78">
              <w:rPr>
                <w:rFonts w:ascii="Times New Roman" w:hAnsi="Times New Roman"/>
                <w:sz w:val="24"/>
              </w:rPr>
              <w:tab/>
              <w:t>blootstellingen met betrekking tot icb’s indien kapitaalvereisten worden berekend overeenkomstig artikel 348 van Verordening (EU) nr. 575/2013.</w:t>
            </w:r>
          </w:p>
        </w:tc>
      </w:tr>
      <w:tr w:rsidR="009D6580" w:rsidRPr="005C3C78" w14:paraId="1B5F6FE5" w14:textId="77777777" w:rsidTr="00822842">
        <w:tc>
          <w:tcPr>
            <w:tcW w:w="1697" w:type="dxa"/>
          </w:tcPr>
          <w:p w14:paraId="22718F0C"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0040</w:t>
            </w:r>
          </w:p>
        </w:tc>
        <w:tc>
          <w:tcPr>
            <w:tcW w:w="8131" w:type="dxa"/>
          </w:tcPr>
          <w:p w14:paraId="79898916"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Waarde van blootstellingen in de handelsportefeuille volgens interne modellen</w:t>
            </w:r>
          </w:p>
          <w:p w14:paraId="2C5D0701"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Voor relevante kredietblootstellingen als bedoeld in artikel 140, lid 4, punt b), van Richtlijn 2013/36/EU waarvoor eigenvermogensvereisten van deel drie, titel IV, hoofdstukken 2 en 5, van Verordening (EU) nr. 575/2013 gelden, wordt de som van het volgende gerapporteerd:</w:t>
            </w:r>
          </w:p>
          <w:p w14:paraId="07E28E81" w14:textId="77777777" w:rsidR="009D6580" w:rsidRPr="005C3C78" w:rsidRDefault="009D6580" w:rsidP="00822842">
            <w:pPr>
              <w:autoSpaceDE w:val="0"/>
              <w:autoSpaceDN w:val="0"/>
              <w:adjustRightInd w:val="0"/>
              <w:ind w:left="357" w:hanging="357"/>
              <w:contextualSpacing/>
              <w:rPr>
                <w:rFonts w:ascii="Times New Roman" w:hAnsi="Times New Roman"/>
                <w:sz w:val="24"/>
              </w:rPr>
            </w:pPr>
            <w:r w:rsidRPr="005C3C78">
              <w:rPr>
                <w:rFonts w:ascii="Times New Roman" w:hAnsi="Times New Roman"/>
                <w:sz w:val="24"/>
              </w:rPr>
              <w:t>-</w:t>
            </w:r>
            <w:r w:rsidRPr="005C3C78">
              <w:rPr>
                <w:rFonts w:ascii="Times New Roman" w:hAnsi="Times New Roman"/>
                <w:sz w:val="24"/>
              </w:rPr>
              <w:tab/>
              <w:t>de reële waarde van niet-afgeleide posities die relevante kredietblootstellingen vertegenwoordigen als bedoeld in artikel 140, lid 4, punt b), van Richtlijn 2013/36/EU, vastgesteld overeenkomstig artikel 104 van Verordening (EU) nr. 575/2013;</w:t>
            </w:r>
          </w:p>
          <w:p w14:paraId="198195E0" w14:textId="77777777" w:rsidR="009D6580" w:rsidRPr="005C3C78" w:rsidRDefault="009D6580" w:rsidP="00822842">
            <w:pPr>
              <w:autoSpaceDE w:val="0"/>
              <w:autoSpaceDN w:val="0"/>
              <w:adjustRightInd w:val="0"/>
              <w:ind w:left="357" w:hanging="357"/>
              <w:contextualSpacing/>
              <w:rPr>
                <w:rFonts w:ascii="Times New Roman" w:hAnsi="Times New Roman"/>
                <w:b/>
                <w:bCs/>
                <w:sz w:val="24"/>
                <w:u w:val="single"/>
              </w:rPr>
            </w:pPr>
            <w:r w:rsidRPr="005C3C78">
              <w:rPr>
                <w:rFonts w:ascii="Times New Roman" w:hAnsi="Times New Roman"/>
                <w:sz w:val="24"/>
              </w:rPr>
              <w:t>-</w:t>
            </w:r>
            <w:r w:rsidRPr="005C3C78">
              <w:rPr>
                <w:rFonts w:ascii="Times New Roman" w:hAnsi="Times New Roman"/>
                <w:sz w:val="24"/>
              </w:rPr>
              <w:tab/>
              <w:t>de notionele waarde van derivaten die relevante kredietblootstellingen als bedoeld in artikel 140, lid 4, punt b), van Richtlijn 2013/36/EU vertegenwoordigen.</w:t>
            </w:r>
          </w:p>
        </w:tc>
      </w:tr>
      <w:tr w:rsidR="009D6580" w:rsidRPr="005C3C78" w14:paraId="6BA1E71E" w14:textId="77777777" w:rsidTr="00822842">
        <w:tc>
          <w:tcPr>
            <w:tcW w:w="1697" w:type="dxa"/>
          </w:tcPr>
          <w:p w14:paraId="37545C8A" w14:textId="77777777" w:rsidR="009D6580" w:rsidRPr="005C3C78" w:rsidRDefault="009D6580" w:rsidP="00822842">
            <w:pPr>
              <w:rPr>
                <w:rFonts w:ascii="Times New Roman" w:hAnsi="Times New Roman"/>
                <w:sz w:val="24"/>
              </w:rPr>
            </w:pPr>
            <w:r w:rsidRPr="005C3C78">
              <w:rPr>
                <w:rFonts w:ascii="Times New Roman" w:hAnsi="Times New Roman"/>
                <w:sz w:val="24"/>
              </w:rPr>
              <w:t>0055</w:t>
            </w:r>
          </w:p>
        </w:tc>
        <w:tc>
          <w:tcPr>
            <w:tcW w:w="8131" w:type="dxa"/>
          </w:tcPr>
          <w:p w14:paraId="3A6EE463"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Relevante kredietblootstellingen – Securitisatieposities in de niet-handelsportefeuille</w:t>
            </w:r>
          </w:p>
          <w:p w14:paraId="4B3C8407" w14:textId="77777777" w:rsidR="009D6580" w:rsidRPr="005C3C78" w:rsidRDefault="009D6580" w:rsidP="00822842">
            <w:pPr>
              <w:rPr>
                <w:rFonts w:ascii="Times New Roman" w:hAnsi="Times New Roman"/>
                <w:sz w:val="24"/>
              </w:rPr>
            </w:pPr>
            <w:r w:rsidRPr="005C3C78">
              <w:rPr>
                <w:rFonts w:ascii="Times New Roman" w:hAnsi="Times New Roman"/>
                <w:sz w:val="24"/>
              </w:rPr>
              <w:t>De overeenkomstig artikel 248 van Verordening (EU) nr. 575/2013 berekende blootstellingswaarde voor de in artikel 140, lid 4, punt c), van Richtlijn 2013/36/EU bedoelde relevante kredietblootstellingen.</w:t>
            </w:r>
          </w:p>
        </w:tc>
      </w:tr>
      <w:tr w:rsidR="009D6580" w:rsidRPr="005C3C78" w14:paraId="2A6651FC" w14:textId="77777777" w:rsidTr="00822842">
        <w:tc>
          <w:tcPr>
            <w:tcW w:w="1697" w:type="dxa"/>
          </w:tcPr>
          <w:p w14:paraId="3D2C5D4A" w14:textId="77777777" w:rsidR="009D6580" w:rsidRPr="005C3C78" w:rsidRDefault="009D6580" w:rsidP="00822842">
            <w:pPr>
              <w:rPr>
                <w:rFonts w:ascii="Times New Roman" w:hAnsi="Times New Roman"/>
                <w:sz w:val="24"/>
              </w:rPr>
            </w:pPr>
            <w:r w:rsidRPr="005C3C78">
              <w:rPr>
                <w:rFonts w:ascii="Times New Roman" w:hAnsi="Times New Roman"/>
                <w:sz w:val="24"/>
              </w:rPr>
              <w:t>0070-0110</w:t>
            </w:r>
          </w:p>
        </w:tc>
        <w:tc>
          <w:tcPr>
            <w:tcW w:w="8131" w:type="dxa"/>
          </w:tcPr>
          <w:p w14:paraId="6A03AF3B"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Eigenvermogensvereisten en -wegingen</w:t>
            </w:r>
          </w:p>
        </w:tc>
      </w:tr>
      <w:tr w:rsidR="009D6580" w:rsidRPr="005C3C78" w14:paraId="5C042A5F" w14:textId="77777777" w:rsidTr="00822842">
        <w:tc>
          <w:tcPr>
            <w:tcW w:w="1697" w:type="dxa"/>
          </w:tcPr>
          <w:p w14:paraId="32640B70" w14:textId="77777777" w:rsidR="009D6580" w:rsidRPr="005C3C78" w:rsidRDefault="009D6580" w:rsidP="00822842">
            <w:pPr>
              <w:rPr>
                <w:rFonts w:ascii="Times New Roman" w:hAnsi="Times New Roman"/>
                <w:sz w:val="24"/>
              </w:rPr>
            </w:pPr>
            <w:r w:rsidRPr="005C3C78">
              <w:rPr>
                <w:rFonts w:ascii="Times New Roman" w:hAnsi="Times New Roman"/>
                <w:sz w:val="24"/>
              </w:rPr>
              <w:t>0070</w:t>
            </w:r>
          </w:p>
        </w:tc>
        <w:tc>
          <w:tcPr>
            <w:tcW w:w="8131" w:type="dxa"/>
          </w:tcPr>
          <w:p w14:paraId="431787D4"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Totale eigenvermogensvereisten voor de contracyclische kapitaalbuffer (CCB)</w:t>
            </w:r>
          </w:p>
          <w:p w14:paraId="78C29612"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De som van de rijen 0080, 0090 en 0100.</w:t>
            </w:r>
          </w:p>
        </w:tc>
      </w:tr>
      <w:tr w:rsidR="009D6580" w:rsidRPr="005C3C78" w14:paraId="7D74E37B" w14:textId="77777777" w:rsidTr="00822842">
        <w:tc>
          <w:tcPr>
            <w:tcW w:w="1697" w:type="dxa"/>
          </w:tcPr>
          <w:p w14:paraId="26DA65D7" w14:textId="77777777" w:rsidR="009D6580" w:rsidRPr="005C3C78" w:rsidRDefault="009D6580" w:rsidP="00822842">
            <w:pPr>
              <w:rPr>
                <w:rFonts w:ascii="Times New Roman" w:hAnsi="Times New Roman"/>
                <w:sz w:val="24"/>
              </w:rPr>
            </w:pPr>
            <w:r w:rsidRPr="005C3C78">
              <w:rPr>
                <w:rFonts w:ascii="Times New Roman" w:hAnsi="Times New Roman"/>
                <w:sz w:val="24"/>
              </w:rPr>
              <w:t>0080</w:t>
            </w:r>
          </w:p>
        </w:tc>
        <w:tc>
          <w:tcPr>
            <w:tcW w:w="8131" w:type="dxa"/>
          </w:tcPr>
          <w:p w14:paraId="2381AF17"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 xml:space="preserve">Eigenvermogensvereisten voor relevante kredietblootstellingen – Kredietrisico </w:t>
            </w:r>
          </w:p>
          <w:p w14:paraId="4126D1DC"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De overeenkomstig deel drie, titel II, hoofdstukken 1 tot en met 4 en hoofdstuk 6, van Verordening (EU) nr. 575/2013 berekende eigenvermogensvereisten voor in artikel 140, lid 4, punt a), van Richtlijn 2013/36/EU bedoelde relevante kredietblootstellingen in het betrokken land.</w:t>
            </w:r>
          </w:p>
          <w:p w14:paraId="094DA9DC"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De eigenvermogensvereisten voor securitisatieposities in de niet-handelsportefeuille worden van deze rij uitgesloten en worden in rij 0100 gerapporteerd.</w:t>
            </w:r>
          </w:p>
          <w:p w14:paraId="037A1499"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De eigenvermogensvereisten bedragen 8 % van de overeenkomstig deel drie, titel II, hoofdstukken 1 tot en met 4 en hoofdstuk 6, van Verordening (EU) nr. 575/2013 vastgestelde risicogewogen posten.</w:t>
            </w:r>
          </w:p>
        </w:tc>
      </w:tr>
      <w:tr w:rsidR="009D6580" w:rsidRPr="005C3C78" w14:paraId="6CE5DB0E" w14:textId="77777777" w:rsidTr="00822842">
        <w:tc>
          <w:tcPr>
            <w:tcW w:w="1697" w:type="dxa"/>
          </w:tcPr>
          <w:p w14:paraId="0847E4D7" w14:textId="77777777" w:rsidR="009D6580" w:rsidRPr="005C3C78" w:rsidRDefault="009D6580" w:rsidP="00822842">
            <w:pPr>
              <w:rPr>
                <w:rFonts w:ascii="Times New Roman" w:hAnsi="Times New Roman"/>
                <w:sz w:val="24"/>
              </w:rPr>
            </w:pPr>
            <w:r w:rsidRPr="005C3C78">
              <w:rPr>
                <w:rFonts w:ascii="Times New Roman" w:hAnsi="Times New Roman"/>
                <w:sz w:val="24"/>
              </w:rPr>
              <w:t>0090</w:t>
            </w:r>
          </w:p>
        </w:tc>
        <w:tc>
          <w:tcPr>
            <w:tcW w:w="8131" w:type="dxa"/>
          </w:tcPr>
          <w:p w14:paraId="4922C906"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 xml:space="preserve">Eigenvermogensvereisten voor relevante kredietblootstellingen – Marktrisico </w:t>
            </w:r>
          </w:p>
          <w:p w14:paraId="5686B881"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 xml:space="preserve">De eigenvermogensvereisten als berekend overeenkomstig deel drie, titel IV, hoofdstuk 2, van Verordening (EU) nr. 575/2013 voor specifiek risico of </w:t>
            </w:r>
            <w:r w:rsidRPr="005C3C78">
              <w:rPr>
                <w:rFonts w:ascii="Times New Roman" w:hAnsi="Times New Roman"/>
                <w:sz w:val="24"/>
              </w:rPr>
              <w:lastRenderedPageBreak/>
              <w:t xml:space="preserve">overeenkomstig deel drie, titel IV, hoofdstuk 5, van Verordening (EU) nr. 575/2013 voor additioneel wanbetalings- en migratierisico ten aanzien van in artikel 140, lid 4, punt b), van Richtlijn 2013/36/EU bedoelde relevante kredietblootstellingen in het betrokken land. </w:t>
            </w:r>
          </w:p>
          <w:p w14:paraId="09611817" w14:textId="77777777" w:rsidR="009D6580" w:rsidRPr="005C3C78" w:rsidRDefault="009D6580" w:rsidP="00822842">
            <w:pPr>
              <w:autoSpaceDE w:val="0"/>
              <w:autoSpaceDN w:val="0"/>
              <w:adjustRightInd w:val="0"/>
              <w:rPr>
                <w:rFonts w:ascii="Times New Roman" w:hAnsi="Times New Roman"/>
                <w:b/>
                <w:bCs/>
                <w:sz w:val="24"/>
                <w:u w:val="single"/>
              </w:rPr>
            </w:pPr>
            <w:r w:rsidRPr="005C3C78">
              <w:rPr>
                <w:rFonts w:ascii="Times New Roman" w:hAnsi="Times New Roman"/>
                <w:sz w:val="24"/>
              </w:rPr>
              <w:t>De eigenvermogensvereisten voor relevante kredietblootstellingen in het marktrisicokader omvatten onder meer de overeenkomstig deel drie, titel IV, hoofdstuk 2, van Verordening (EU) nr. 575/2013 berekende eigenvermogensvereisten voor securitisatieposities en de overeenkomstig artikel 348 van die verordening bepaalde eigenvermogensvereisten voor instellingen voor collectieve belegging.</w:t>
            </w:r>
          </w:p>
        </w:tc>
      </w:tr>
      <w:tr w:rsidR="009D6580" w:rsidRPr="005C3C78" w14:paraId="655D63DC" w14:textId="77777777" w:rsidTr="00822842">
        <w:tc>
          <w:tcPr>
            <w:tcW w:w="1697" w:type="dxa"/>
          </w:tcPr>
          <w:p w14:paraId="4911AAD6"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0100</w:t>
            </w:r>
          </w:p>
        </w:tc>
        <w:tc>
          <w:tcPr>
            <w:tcW w:w="8131" w:type="dxa"/>
          </w:tcPr>
          <w:p w14:paraId="45D3AC3C"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Eigenvermogensvereisten voor relevante kredietblootstellingen – Gesecuritiseerde posities in de niet-handelsportefeuille</w:t>
            </w:r>
          </w:p>
          <w:p w14:paraId="64834120"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De overeenkomstig deel drie, titel II, hoofdstuk 5, van Verordening (EU) nr. 575/2013 berekende eigenvermogensvereisten voor in artikel 140, lid 4, punt c), van Richtlijn 2013/36/EU bedoelde relevante kredietblootstellingen in het betrokken land.</w:t>
            </w:r>
          </w:p>
          <w:p w14:paraId="1A6665D5"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De eigenvermogensvereisten bedragen 8 % van de overeenkomstig deel drie, titel II, hoofdstuk 5, van Verordening (EU) nr. 575/2013 vastgestelde risicogewogen posten.</w:t>
            </w:r>
          </w:p>
        </w:tc>
      </w:tr>
      <w:tr w:rsidR="009D6580" w:rsidRPr="005C3C78" w14:paraId="4015A9D7" w14:textId="77777777" w:rsidTr="00822842">
        <w:tc>
          <w:tcPr>
            <w:tcW w:w="1697" w:type="dxa"/>
          </w:tcPr>
          <w:p w14:paraId="4ACCD3B3" w14:textId="77777777" w:rsidR="009D6580" w:rsidRPr="005C3C78" w:rsidRDefault="009D6580" w:rsidP="00822842">
            <w:pPr>
              <w:rPr>
                <w:rFonts w:ascii="Times New Roman" w:hAnsi="Times New Roman"/>
                <w:sz w:val="24"/>
              </w:rPr>
            </w:pPr>
            <w:r w:rsidRPr="005C3C78">
              <w:rPr>
                <w:rFonts w:ascii="Times New Roman" w:hAnsi="Times New Roman"/>
                <w:sz w:val="24"/>
              </w:rPr>
              <w:t>0110</w:t>
            </w:r>
          </w:p>
        </w:tc>
        <w:tc>
          <w:tcPr>
            <w:tcW w:w="8131" w:type="dxa"/>
          </w:tcPr>
          <w:p w14:paraId="2EE25FA2"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Wegingen van eigenvermogensvereisten</w:t>
            </w:r>
          </w:p>
          <w:p w14:paraId="3D7B8904" w14:textId="77777777" w:rsidR="009D6580" w:rsidRPr="005C3C78" w:rsidRDefault="009D6580" w:rsidP="00822842">
            <w:pPr>
              <w:rPr>
                <w:rFonts w:ascii="Times New Roman" w:hAnsi="Times New Roman"/>
                <w:sz w:val="24"/>
              </w:rPr>
            </w:pPr>
            <w:r w:rsidRPr="005C3C78">
              <w:rPr>
                <w:rFonts w:ascii="Times New Roman" w:hAnsi="Times New Roman"/>
                <w:sz w:val="24"/>
              </w:rPr>
              <w:t>De weging die wordt toegepast op het contracyclische kapitaalbufferpercentage in elk land, wordt berekend als een ratio van eigenvermogensvereisten die als volgt wordt bepaald:</w:t>
            </w:r>
          </w:p>
          <w:p w14:paraId="47443D03" w14:textId="77777777" w:rsidR="009D6580" w:rsidRPr="005C3C78" w:rsidRDefault="009D6580" w:rsidP="00822842">
            <w:pPr>
              <w:rPr>
                <w:rFonts w:ascii="Times New Roman" w:hAnsi="Times New Roman"/>
                <w:sz w:val="24"/>
              </w:rPr>
            </w:pPr>
            <w:r w:rsidRPr="005C3C78">
              <w:rPr>
                <w:rFonts w:ascii="Times New Roman" w:hAnsi="Times New Roman"/>
                <w:sz w:val="24"/>
              </w:rPr>
              <w:t>1.</w:t>
            </w:r>
            <w:r w:rsidRPr="005C3C78">
              <w:rPr>
                <w:rFonts w:ascii="Times New Roman" w:hAnsi="Times New Roman"/>
                <w:sz w:val="24"/>
              </w:rPr>
              <w:tab/>
              <w:t xml:space="preserve">Teller: het totaal van eigenvermogensvereisten dat betrekking heeft op de relevante kredietblootstellingen in het betrokken land [r0070; c0010; landenblad], </w:t>
            </w:r>
          </w:p>
          <w:p w14:paraId="1FE57EC6"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2.</w:t>
            </w:r>
            <w:r w:rsidRPr="005C3C78">
              <w:rPr>
                <w:rFonts w:ascii="Times New Roman" w:hAnsi="Times New Roman"/>
                <w:sz w:val="24"/>
              </w:rPr>
              <w:tab/>
              <w:t>Noemer: het totaal van eigenvermogensvereisten dat betrekking heeft op alle kredietblootstellingen die relevant zijn voor de berekening van de in artikel 140, lid 4, van Richtlijn 2013/36/EU bedoelde contracyclische buffer overeenkomstig [r0070; c0010; “Totaal”].</w:t>
            </w:r>
          </w:p>
          <w:p w14:paraId="423D2DDF"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Informatie over de wegingen van de eigenvermogensvereisten wordt niet voor het “Totaal” van alle landen gerapporteerd.</w:t>
            </w:r>
          </w:p>
        </w:tc>
      </w:tr>
      <w:tr w:rsidR="009D6580" w:rsidRPr="005C3C78" w14:paraId="5C4BC14D" w14:textId="77777777" w:rsidTr="00822842">
        <w:tc>
          <w:tcPr>
            <w:tcW w:w="1697" w:type="dxa"/>
          </w:tcPr>
          <w:p w14:paraId="1A21712D" w14:textId="77777777" w:rsidR="009D6580" w:rsidRPr="005C3C78" w:rsidRDefault="009D6580" w:rsidP="00822842">
            <w:pPr>
              <w:rPr>
                <w:rFonts w:ascii="Times New Roman" w:hAnsi="Times New Roman"/>
                <w:sz w:val="24"/>
              </w:rPr>
            </w:pPr>
            <w:r w:rsidRPr="005C3C78">
              <w:rPr>
                <w:rFonts w:ascii="Times New Roman" w:hAnsi="Times New Roman"/>
                <w:sz w:val="24"/>
              </w:rPr>
              <w:t>0120-0140</w:t>
            </w:r>
          </w:p>
        </w:tc>
        <w:tc>
          <w:tcPr>
            <w:tcW w:w="8131" w:type="dxa"/>
          </w:tcPr>
          <w:p w14:paraId="0FFF9D8C"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Contracyclische bufferpercentages</w:t>
            </w:r>
          </w:p>
        </w:tc>
      </w:tr>
      <w:tr w:rsidR="009D6580" w:rsidRPr="005C3C78" w14:paraId="3D2AE883" w14:textId="77777777" w:rsidTr="00822842">
        <w:tc>
          <w:tcPr>
            <w:tcW w:w="1697" w:type="dxa"/>
          </w:tcPr>
          <w:p w14:paraId="61437EB6" w14:textId="77777777" w:rsidR="009D6580" w:rsidRPr="005C3C78" w:rsidRDefault="009D6580" w:rsidP="00822842">
            <w:pPr>
              <w:rPr>
                <w:rFonts w:ascii="Times New Roman" w:hAnsi="Times New Roman"/>
                <w:sz w:val="24"/>
              </w:rPr>
            </w:pPr>
            <w:r w:rsidRPr="005C3C78">
              <w:rPr>
                <w:rFonts w:ascii="Times New Roman" w:hAnsi="Times New Roman"/>
                <w:sz w:val="24"/>
              </w:rPr>
              <w:t>0120</w:t>
            </w:r>
          </w:p>
        </w:tc>
        <w:tc>
          <w:tcPr>
            <w:tcW w:w="8131" w:type="dxa"/>
          </w:tcPr>
          <w:p w14:paraId="756100DA"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Door de aangewezen autoriteit bepaald contracyclisch kapitaalbufferpercentage</w:t>
            </w:r>
          </w:p>
          <w:p w14:paraId="256AAB40"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Het contracyclische kapitaalbufferpercentage dat voor het betrokken land door de aangewezen autoriteit van dat land is bepaald overeenkomstig de artikelen 136, 137 en 139, artikel 140, lid 2, punten a) en c), en artikel 140, lid 3, punt b), van Richtlijn 2013/36/EU.</w:t>
            </w:r>
          </w:p>
          <w:p w14:paraId="08387A10"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Deze rij wordt leeg gelaten wanneer de aangewezen autoriteit van het betrokken land geen contracyclisch bufferpercentage voor dat land heeft bepaald.</w:t>
            </w:r>
          </w:p>
          <w:p w14:paraId="79AF7A0C"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lastRenderedPageBreak/>
              <w:t>Contracyclische kapitaalbufferpercentages die door de aangewezen autoriteit zijn bepaald, maar op de rapportagereferentiedatum nog niet van toepassing zijn in het betrokken land, worden niet gerapporteerd.</w:t>
            </w:r>
          </w:p>
          <w:p w14:paraId="5BEA0E13"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 xml:space="preserve">Informatie over het door de aangewezen autoriteit bepaalde contracyclische kapitaalbufferpercentage wordt niet voor het “Totaal” van alle landen gerapporteerd. </w:t>
            </w:r>
          </w:p>
        </w:tc>
      </w:tr>
      <w:tr w:rsidR="009D6580" w:rsidRPr="005C3C78" w14:paraId="01E6253D" w14:textId="77777777" w:rsidTr="00822842">
        <w:tc>
          <w:tcPr>
            <w:tcW w:w="1697" w:type="dxa"/>
          </w:tcPr>
          <w:p w14:paraId="3226BBDD"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0130</w:t>
            </w:r>
          </w:p>
        </w:tc>
        <w:tc>
          <w:tcPr>
            <w:tcW w:w="8131" w:type="dxa"/>
          </w:tcPr>
          <w:p w14:paraId="1301D1B3"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Contracyclisch kapitaalbufferpercentage zoals van toepassing voor het land van de instelling</w:t>
            </w:r>
          </w:p>
          <w:p w14:paraId="47D66D49"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Het contracyclische kapitaalbufferpercentage dat voor het betrokken land van toepassing is en door de aangewezen autoriteit van het land van vestiging van de instelling werd bepaald overeenkomstig de artikelen 137, 138 en 139, artikel 140, lid 2, punt b), en artikel 140, lid 3, punt a), van Richtlijn 2013/36/EU. Contracyclische kapitaalbufferpercentages die op de rapportagereferentiedatum nog niet van toepassing zijn, worden niet gerapporteerd.</w:t>
            </w:r>
          </w:p>
          <w:p w14:paraId="082B5846"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Informatie over het contracyclische kapitaalbufferpercentage dat in het land van de instelling van toepassing is, wordt niet voor het “Totaal” van alle landen gerapporteerd.</w:t>
            </w:r>
          </w:p>
        </w:tc>
      </w:tr>
      <w:tr w:rsidR="009D6580" w:rsidRPr="005C3C78" w14:paraId="3FF424DB" w14:textId="77777777" w:rsidTr="00822842">
        <w:tc>
          <w:tcPr>
            <w:tcW w:w="1697" w:type="dxa"/>
          </w:tcPr>
          <w:p w14:paraId="752F444A" w14:textId="77777777" w:rsidR="009D6580" w:rsidRPr="005C3C78" w:rsidRDefault="009D6580" w:rsidP="00822842">
            <w:pPr>
              <w:rPr>
                <w:rFonts w:ascii="Times New Roman" w:hAnsi="Times New Roman"/>
                <w:sz w:val="24"/>
              </w:rPr>
            </w:pPr>
            <w:r w:rsidRPr="005C3C78">
              <w:rPr>
                <w:rFonts w:ascii="Times New Roman" w:hAnsi="Times New Roman"/>
                <w:sz w:val="24"/>
              </w:rPr>
              <w:t>0140</w:t>
            </w:r>
          </w:p>
        </w:tc>
        <w:tc>
          <w:tcPr>
            <w:tcW w:w="8131" w:type="dxa"/>
          </w:tcPr>
          <w:p w14:paraId="315BAE64"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 xml:space="preserve">Instellingsspecifiek contracyclisch kapitaalbufferpercentage </w:t>
            </w:r>
          </w:p>
          <w:p w14:paraId="253E0547"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 xml:space="preserve">Het instellingsspecifieke contracyclische kapitaalbufferpercentage zoals vastgesteld overeenkomstig artikel 140, lid 1, van Richtlijn 2013/36/EU. </w:t>
            </w:r>
          </w:p>
          <w:p w14:paraId="575D2B31"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Het instellingsspecifieke contracyclische kapitaalbufferpercentage wordt berekend als het gewogen gemiddelde van de contracyclische bufferpercentages die van toepassing zijn in de rechtsgebieden waar de relevante kredietblootstellingen van de instelling gesitueerd zijn of die in het kader van artikel 140 worden toegepast krachtens artikel 139, leden 2 of 3, van Richtlijn 2013/36/EU. Het relevante contracyclische kapitaalbufferpercentage wordt gerapporteerd in [r0120; c0020; landenblad] of [r0130; c0020; landenblad], al naargelang.</w:t>
            </w:r>
          </w:p>
          <w:p w14:paraId="2C4ECBB2" w14:textId="77777777" w:rsidR="009D6580" w:rsidRPr="005C3C78" w:rsidRDefault="009D6580" w:rsidP="00822842">
            <w:pPr>
              <w:autoSpaceDE w:val="0"/>
              <w:autoSpaceDN w:val="0"/>
              <w:adjustRightInd w:val="0"/>
              <w:rPr>
                <w:rFonts w:ascii="Times New Roman" w:hAnsi="Times New Roman"/>
                <w:b/>
                <w:strike/>
                <w:sz w:val="24"/>
              </w:rPr>
            </w:pPr>
            <w:r w:rsidRPr="005C3C78">
              <w:rPr>
                <w:rFonts w:ascii="Times New Roman" w:hAnsi="Times New Roman"/>
                <w:sz w:val="24"/>
              </w:rPr>
              <w:t xml:space="preserve">De weging die in elk land op het contracyclische kapitaalbufferpercentage wordt toegepast, is het aandeel van eigenvermogensvereisten in de totale eigenvermogensvereisten en wordt gerapporteerd in [r0110; c0020; landenblad]. </w:t>
            </w:r>
          </w:p>
          <w:p w14:paraId="65E93DC9"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Informatie over het instellingsspecifieke contracyclische kapitaalbufferpercentage wordt alleen voor het “Totaal” van alle landen gerapporteerd, en niet voor ieder land apart.</w:t>
            </w:r>
          </w:p>
        </w:tc>
      </w:tr>
      <w:tr w:rsidR="009D6580" w:rsidRPr="005C3C78" w14:paraId="0CA64D03" w14:textId="77777777" w:rsidTr="00822842">
        <w:tc>
          <w:tcPr>
            <w:tcW w:w="1697" w:type="dxa"/>
          </w:tcPr>
          <w:p w14:paraId="1436C16C" w14:textId="77777777" w:rsidR="009D6580" w:rsidRPr="005C3C78" w:rsidRDefault="009D6580" w:rsidP="00822842">
            <w:pPr>
              <w:rPr>
                <w:rFonts w:ascii="Times New Roman" w:hAnsi="Times New Roman"/>
                <w:sz w:val="24"/>
              </w:rPr>
            </w:pPr>
            <w:r w:rsidRPr="005C3C78">
              <w:rPr>
                <w:rFonts w:ascii="Times New Roman" w:hAnsi="Times New Roman"/>
                <w:sz w:val="24"/>
              </w:rPr>
              <w:t>0150 - 0160</w:t>
            </w:r>
          </w:p>
        </w:tc>
        <w:tc>
          <w:tcPr>
            <w:tcW w:w="8131" w:type="dxa"/>
          </w:tcPr>
          <w:p w14:paraId="13A71A3D" w14:textId="77777777" w:rsidR="009D6580" w:rsidRPr="005C3C78" w:rsidRDefault="009D6580" w:rsidP="00822842">
            <w:pPr>
              <w:rPr>
                <w:rFonts w:ascii="Times New Roman" w:hAnsi="Times New Roman"/>
                <w:b/>
                <w:bCs/>
                <w:sz w:val="24"/>
                <w:u w:val="single"/>
              </w:rPr>
            </w:pPr>
            <w:r w:rsidRPr="005C3C78">
              <w:rPr>
                <w:rFonts w:ascii="Times New Roman" w:hAnsi="Times New Roman"/>
                <w:b/>
                <w:sz w:val="24"/>
                <w:u w:val="single"/>
              </w:rPr>
              <w:t>Gebruik van de 2 %-drempel</w:t>
            </w:r>
          </w:p>
        </w:tc>
      </w:tr>
      <w:tr w:rsidR="009D6580" w:rsidRPr="005C3C78" w14:paraId="4C39701D" w14:textId="77777777" w:rsidTr="00822842">
        <w:tc>
          <w:tcPr>
            <w:tcW w:w="1697" w:type="dxa"/>
          </w:tcPr>
          <w:p w14:paraId="62E51E11" w14:textId="77777777" w:rsidR="009D6580" w:rsidRPr="005C3C78" w:rsidRDefault="009D6580" w:rsidP="00822842">
            <w:pPr>
              <w:rPr>
                <w:rFonts w:ascii="Times New Roman" w:hAnsi="Times New Roman"/>
                <w:sz w:val="24"/>
              </w:rPr>
            </w:pPr>
            <w:r w:rsidRPr="005C3C78">
              <w:rPr>
                <w:rFonts w:ascii="Times New Roman" w:hAnsi="Times New Roman"/>
                <w:sz w:val="24"/>
              </w:rPr>
              <w:t>0150</w:t>
            </w:r>
          </w:p>
        </w:tc>
        <w:tc>
          <w:tcPr>
            <w:tcW w:w="8131" w:type="dxa"/>
          </w:tcPr>
          <w:p w14:paraId="0ABF51F0"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b/>
                <w:sz w:val="24"/>
                <w:u w:val="single"/>
              </w:rPr>
              <w:t>Gebruik van de 2 %-drempel voor algemene kredietblootstellingen</w:t>
            </w:r>
            <w:r w:rsidRPr="005C3C78">
              <w:rPr>
                <w:rFonts w:ascii="Times New Roman" w:hAnsi="Times New Roman"/>
                <w:sz w:val="24"/>
              </w:rPr>
              <w:t xml:space="preserve"> </w:t>
            </w:r>
          </w:p>
          <w:p w14:paraId="68B71CE8"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 xml:space="preserve">Overeenkomstig artikel 2, lid 5, punt b), van Gedelegeerde Verordening (EU) nr. 1152/2014 van de Commissie mogen buitenlandse algemene kredietblootstellingen die in totaal niet groter zijn dan 2 % van het totaalbedrag van de algemene kredietblootstellingen, de blootstellingen in de handelsportefeuille en de securitisatieblootstellingen van de betrokken instelling, worden toegewezen aan de lidstaat van herkomst van een instelling. Bij de berekening van het totaalbedrag van de algemene kredietblootstellingen, de blootstellingen in de handelsportefeuille en de securitisatieblootstellingen worden de algemene kredietblootstellingen waarvan </w:t>
            </w:r>
            <w:r w:rsidRPr="005C3C78">
              <w:rPr>
                <w:rFonts w:ascii="Times New Roman" w:hAnsi="Times New Roman"/>
                <w:sz w:val="24"/>
              </w:rPr>
              <w:lastRenderedPageBreak/>
              <w:t>de locatie in overeenstemming met artikel 2, lid 5, punt a), en artikel 2, lid 4, van Gedelegeerde Verordening (EU) nr. 1152/2014 van de Commissie is bepaald, buiten beschouwing gelaten.</w:t>
            </w:r>
          </w:p>
          <w:p w14:paraId="53DCDD60"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Als de instelling van deze afwijking gebruikmaakt, vermeldt zij “y” in de template voor het rechtsgebied dat overeenkomt met haar lidstaat van herkomst en voor het “Totaal” van alle landen.</w:t>
            </w:r>
          </w:p>
          <w:p w14:paraId="5B2597B2"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Als een instelling geen gebruik maakt van deze afwijking, vermeldt zij “n” in de desbetreffende cel.</w:t>
            </w:r>
          </w:p>
        </w:tc>
      </w:tr>
      <w:tr w:rsidR="009D6580" w:rsidRPr="005C3C78" w14:paraId="7179BBF6" w14:textId="77777777" w:rsidTr="00822842">
        <w:tc>
          <w:tcPr>
            <w:tcW w:w="1697" w:type="dxa"/>
          </w:tcPr>
          <w:p w14:paraId="528EEA51" w14:textId="77777777" w:rsidR="009D6580" w:rsidRPr="005C3C78" w:rsidRDefault="009D6580" w:rsidP="00822842">
            <w:pPr>
              <w:rPr>
                <w:rFonts w:ascii="Times New Roman" w:hAnsi="Times New Roman"/>
                <w:sz w:val="24"/>
              </w:rPr>
            </w:pPr>
            <w:r w:rsidRPr="005C3C78">
              <w:rPr>
                <w:rFonts w:ascii="Times New Roman" w:hAnsi="Times New Roman"/>
                <w:sz w:val="24"/>
              </w:rPr>
              <w:lastRenderedPageBreak/>
              <w:t>0160</w:t>
            </w:r>
          </w:p>
        </w:tc>
        <w:tc>
          <w:tcPr>
            <w:tcW w:w="8131" w:type="dxa"/>
          </w:tcPr>
          <w:p w14:paraId="4FC000D6"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b/>
                <w:sz w:val="24"/>
                <w:u w:val="single"/>
              </w:rPr>
              <w:t>Gebruik van de 2 %-drempel voor blootstellingen in de handelsportefeuille</w:t>
            </w:r>
          </w:p>
          <w:p w14:paraId="13ED02AA" w14:textId="77777777" w:rsidR="009D6580" w:rsidRPr="005C3C78" w:rsidRDefault="009D6580" w:rsidP="00822842">
            <w:pPr>
              <w:autoSpaceDE w:val="0"/>
              <w:autoSpaceDN w:val="0"/>
              <w:adjustRightInd w:val="0"/>
              <w:rPr>
                <w:rFonts w:ascii="Times New Roman" w:hAnsi="Times New Roman"/>
                <w:sz w:val="24"/>
              </w:rPr>
            </w:pPr>
            <w:r w:rsidRPr="005C3C78">
              <w:rPr>
                <w:rFonts w:ascii="Times New Roman" w:hAnsi="Times New Roman"/>
                <w:sz w:val="24"/>
              </w:rPr>
              <w:t>Overeenkomstig artikel 3, lid 3, van Gedelegeerde Verordening (EU) nr. 1152/2014 van de Commissie mogen instellingen blootstellingen in de handelsportefeuille aan hun lidstaat van herkomst toewijzen indien de totale blootstellingen in de handelsportefeuille niet groter zijn dan 2 % van het totaalbedrag van de algemene kredietblootstellingen, de blootstellingen in de handelsportefeuille en de securitisatieblootstellingen.</w:t>
            </w:r>
          </w:p>
          <w:p w14:paraId="068BDCF9" w14:textId="77777777" w:rsidR="009D6580" w:rsidRPr="005C3C78" w:rsidRDefault="009D6580" w:rsidP="00822842">
            <w:pPr>
              <w:rPr>
                <w:rFonts w:ascii="Times New Roman" w:hAnsi="Times New Roman"/>
                <w:sz w:val="24"/>
              </w:rPr>
            </w:pPr>
            <w:r w:rsidRPr="005C3C78">
              <w:rPr>
                <w:rFonts w:ascii="Times New Roman" w:hAnsi="Times New Roman"/>
                <w:sz w:val="24"/>
              </w:rPr>
              <w:t>Als de instelling van deze afwijking gebruikmaakt, vermeldt zij “y” in de template voor het rechtsgebied dat overeenkomt met haar lidstaat van herkomst en voor het “Totaal” van alle landen.</w:t>
            </w:r>
          </w:p>
          <w:p w14:paraId="3EA8EC30" w14:textId="77777777" w:rsidR="009D6580" w:rsidRPr="005C3C78" w:rsidRDefault="009D6580" w:rsidP="00822842">
            <w:pPr>
              <w:rPr>
                <w:rFonts w:ascii="Times New Roman" w:hAnsi="Times New Roman"/>
                <w:b/>
                <w:bCs/>
                <w:sz w:val="24"/>
                <w:u w:val="single"/>
              </w:rPr>
            </w:pPr>
            <w:r w:rsidRPr="005C3C78">
              <w:rPr>
                <w:rFonts w:ascii="Times New Roman" w:hAnsi="Times New Roman"/>
                <w:sz w:val="24"/>
              </w:rPr>
              <w:t>Als een instelling geen gebruik maakt van deze afwijking, vermeldt zij “n” in de desbetreffende cel.</w:t>
            </w:r>
          </w:p>
        </w:tc>
      </w:tr>
    </w:tbl>
    <w:p w14:paraId="41871259" w14:textId="77777777" w:rsidR="009D6580" w:rsidRPr="005C3C78" w:rsidRDefault="009D6580">
      <w:pPr>
        <w:rPr>
          <w:rFonts w:ascii="Times New Roman" w:hAnsi="Times New Roman"/>
        </w:rPr>
      </w:pPr>
    </w:p>
    <w:p w14:paraId="6D451BBA" w14:textId="77777777" w:rsidR="009D6580" w:rsidRPr="005C3C78" w:rsidRDefault="009D6580">
      <w:pPr>
        <w:rPr>
          <w:rFonts w:ascii="Times New Roman" w:hAnsi="Times New Roman"/>
        </w:rPr>
      </w:pPr>
    </w:p>
    <w:sectPr w:rsidR="009D6580" w:rsidRPr="005C3C78">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Gedelegeerde Verordening (EU) nr. 1152/2014 van de Commissie van 4 juni 2014 tot aanvulling van Richtlijn 2013/36/EU van het Europees Parlement en de Raad met technische reguleringsnormen voor de bepaling van de geografische locatie van de relevante kredietblootstellingen voor de berekening van instellingsspecifieke contracyclische kapitaalbufferpercentages (PB L 309 van 30.10.2014, blz.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1D5E29"/>
    <w:rsid w:val="0020657D"/>
    <w:rsid w:val="00234FB5"/>
    <w:rsid w:val="0035336C"/>
    <w:rsid w:val="00381D02"/>
    <w:rsid w:val="003C36D5"/>
    <w:rsid w:val="003D18F9"/>
    <w:rsid w:val="005644CB"/>
    <w:rsid w:val="005B37F0"/>
    <w:rsid w:val="005C3C78"/>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109B"/>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nl-NL"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nl-NL"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nl-NL"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nl-NL"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nl-NL"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nl-NL"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nl-NL"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nl-NL"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nl-NL"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nl-NL"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nl-NL"/>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2.xml><?xml version="1.0" encoding="utf-8"?>
<ds:datastoreItem xmlns:ds="http://schemas.openxmlformats.org/officeDocument/2006/customXml" ds:itemID="{15DDE372-E13D-426D-8E66-63B75AE668A9}"/>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4097</Words>
  <Characters>26760</Characters>
  <Application>Microsoft Office Word</Application>
  <DocSecurity>0</DocSecurity>
  <Lines>669</Lines>
  <Paragraphs>467</Paragraphs>
  <ScaleCrop>false</ScaleCrop>
  <Company/>
  <LinksUpToDate>false</LinksUpToDate>
  <CharactersWithSpaces>30390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2025-01-21T09:58:31Z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f6979f45-3968-4da8-9b94-29f424c91bb1</vt:lpwstr>
  </property>
  <property fmtid="{D5CDD505-2E9C-101B-9397-08002B2CF9AE}" pid="9" name="MSIP_Label_6bd9ddd1-4d20-43f6-abfa-fc3c07406f94_ContentBits">
    <vt:lpwstr>0</vt:lpwstr>
  </property>
</Properties>
</file>